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7E14" w:rsidRDefault="00817E14" w:rsidP="00817E14">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817E14" w:rsidTr="00CC303C">
        <w:trPr>
          <w:jc w:val="center"/>
        </w:trPr>
        <w:tc>
          <w:tcPr>
            <w:tcW w:w="743" w:type="dxa"/>
          </w:tcPr>
          <w:p w:rsidR="00817E14" w:rsidRDefault="00817E14" w:rsidP="00CC303C">
            <w:pPr>
              <w:suppressLineNumbers/>
              <w:jc w:val="both"/>
              <w:rPr>
                <w:rFonts w:ascii="Arial" w:hAnsi="Arial"/>
                <w:b/>
                <w:bCs/>
                <w:sz w:val="26"/>
                <w:szCs w:val="26"/>
                <w:rtl/>
              </w:rPr>
            </w:pPr>
          </w:p>
          <w:p w:rsidR="00817E14" w:rsidRDefault="00817E14" w:rsidP="00CC303C">
            <w:pPr>
              <w:suppressLineNumbers/>
              <w:jc w:val="both"/>
              <w:rPr>
                <w:rFonts w:ascii="Arial" w:hAnsi="Arial"/>
                <w:b/>
                <w:bCs/>
                <w:sz w:val="26"/>
                <w:szCs w:val="26"/>
                <w:rtl/>
              </w:rPr>
            </w:pPr>
          </w:p>
          <w:p w:rsidR="00817E14" w:rsidRDefault="00817E14" w:rsidP="00CC303C">
            <w:pPr>
              <w:suppressLineNumbers/>
              <w:jc w:val="both"/>
              <w:rPr>
                <w:rFonts w:ascii="Arial" w:hAnsi="Arial"/>
                <w:b/>
                <w:bCs/>
                <w:sz w:val="26"/>
                <w:szCs w:val="26"/>
                <w:rtl/>
              </w:rPr>
            </w:pPr>
          </w:p>
          <w:p w:rsidR="00817E14" w:rsidRDefault="00817E14" w:rsidP="00CC303C">
            <w:pPr>
              <w:suppressLineNumbers/>
              <w:jc w:val="both"/>
              <w:rPr>
                <w:rFonts w:ascii="Arial" w:hAnsi="Arial"/>
                <w:b/>
                <w:bCs/>
                <w:sz w:val="26"/>
                <w:szCs w:val="26"/>
                <w:rtl/>
              </w:rPr>
            </w:pPr>
          </w:p>
          <w:p w:rsidR="00817E14" w:rsidRDefault="00817E14" w:rsidP="00CC303C">
            <w:pPr>
              <w:suppressLineNumbers/>
              <w:jc w:val="both"/>
              <w:rPr>
                <w:rFonts w:ascii="Arial" w:hAnsi="Arial"/>
                <w:b/>
                <w:bCs/>
                <w:sz w:val="26"/>
                <w:szCs w:val="26"/>
                <w:rtl/>
              </w:rPr>
            </w:pPr>
          </w:p>
          <w:p w:rsidR="00817E14" w:rsidRDefault="00817E14" w:rsidP="00CC303C">
            <w:pPr>
              <w:suppressLineNumbers/>
              <w:jc w:val="both"/>
              <w:rPr>
                <w:rFonts w:ascii="Arial" w:hAnsi="Arial"/>
                <w:b/>
                <w:bCs/>
                <w:sz w:val="26"/>
                <w:szCs w:val="26"/>
                <w:rtl/>
              </w:rPr>
            </w:pPr>
          </w:p>
          <w:p w:rsidR="00817E14" w:rsidRDefault="00817E14" w:rsidP="00CC303C">
            <w:pPr>
              <w:suppressLineNumbers/>
              <w:jc w:val="both"/>
              <w:rPr>
                <w:rFonts w:ascii="Arial" w:hAnsi="Arial"/>
                <w:b/>
                <w:bCs/>
                <w:sz w:val="26"/>
                <w:szCs w:val="26"/>
                <w:rtl/>
              </w:rPr>
            </w:pPr>
          </w:p>
          <w:p w:rsidR="00817E14" w:rsidRDefault="00817E14" w:rsidP="00CC303C">
            <w:pPr>
              <w:suppressLineNumbers/>
              <w:jc w:val="both"/>
              <w:rPr>
                <w:rFonts w:ascii="Arial" w:hAnsi="Arial"/>
                <w:b/>
                <w:bCs/>
                <w:sz w:val="26"/>
                <w:szCs w:val="26"/>
                <w:rtl/>
              </w:rPr>
            </w:pPr>
          </w:p>
          <w:p w:rsidR="00817E14" w:rsidRDefault="00817E14" w:rsidP="00CC303C">
            <w:pPr>
              <w:suppressLineNumbers/>
              <w:jc w:val="both"/>
              <w:rPr>
                <w:rFonts w:ascii="Arial" w:hAnsi="Arial"/>
                <w:b/>
                <w:bCs/>
                <w:sz w:val="26"/>
                <w:szCs w:val="26"/>
                <w:rtl/>
              </w:rPr>
            </w:pPr>
          </w:p>
          <w:p w:rsidR="00817E14" w:rsidRPr="008A59EE" w:rsidRDefault="00817E14" w:rsidP="00CC303C">
            <w:pPr>
              <w:suppressLineNumbers/>
              <w:jc w:val="both"/>
              <w:rPr>
                <w:rFonts w:ascii="Arial" w:hAnsi="Arial"/>
                <w:b/>
                <w:bCs/>
                <w:sz w:val="26"/>
                <w:szCs w:val="26"/>
                <w:rtl/>
              </w:rPr>
            </w:pPr>
            <w:r>
              <w:rPr>
                <w:rFonts w:ascii="Arial" w:hAnsi="Arial" w:hint="cs"/>
                <w:b/>
                <w:bCs/>
                <w:sz w:val="26"/>
                <w:szCs w:val="26"/>
                <w:rtl/>
              </w:rPr>
              <w:t>ל</w:t>
            </w:r>
            <w:r w:rsidRPr="008A59EE">
              <w:rPr>
                <w:rFonts w:ascii="Arial" w:hAnsi="Arial"/>
                <w:b/>
                <w:bCs/>
                <w:sz w:val="26"/>
                <w:szCs w:val="26"/>
                <w:rtl/>
              </w:rPr>
              <w:t xml:space="preserve">פני </w:t>
            </w:r>
          </w:p>
        </w:tc>
        <w:tc>
          <w:tcPr>
            <w:tcW w:w="8077" w:type="dxa"/>
            <w:gridSpan w:val="2"/>
          </w:tcPr>
          <w:p w:rsidR="00817E14" w:rsidRDefault="00817E14" w:rsidP="00817E14">
            <w:pPr>
              <w:suppressLineNumbers/>
              <w:jc w:val="center"/>
              <w:rPr>
                <w:rFonts w:ascii="Arial" w:hAnsi="Arial"/>
                <w:b/>
                <w:bCs/>
                <w:sz w:val="26"/>
                <w:szCs w:val="26"/>
                <w:rtl/>
              </w:rPr>
            </w:pPr>
            <w:r>
              <w:rPr>
                <w:rFonts w:cs="FrankRuehl"/>
                <w:sz w:val="28"/>
                <w:szCs w:val="28"/>
              </w:rPr>
              <w:drawing>
                <wp:inline distT="0" distB="0" distL="0" distR="0" wp14:anchorId="2C3DA481" wp14:editId="53DCC5B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p w:rsidR="00817E14" w:rsidRDefault="00817E14" w:rsidP="00CC303C">
            <w:pPr>
              <w:suppressLineNumbers/>
              <w:rPr>
                <w:rFonts w:ascii="Arial" w:hAnsi="Arial"/>
                <w:b/>
                <w:bCs/>
                <w:sz w:val="26"/>
                <w:szCs w:val="26"/>
                <w:rtl/>
              </w:rPr>
            </w:pPr>
          </w:p>
          <w:sdt>
            <w:sdtPr>
              <w:rPr>
                <w:rFonts w:ascii="Tahoma" w:hAnsi="Tahoma"/>
                <w:color w:val="000080"/>
                <w:sz w:val="32"/>
                <w:szCs w:val="32"/>
                <w:rtl/>
              </w:rPr>
              <w:alias w:val="1174"/>
              <w:tag w:val="1174"/>
              <w:id w:val="-1585920285"/>
              <w:text w:multiLine="1"/>
            </w:sdtPr>
            <w:sdtEndPr/>
            <w:sdtContent>
              <w:p w:rsidR="00817E14" w:rsidRDefault="00817E14" w:rsidP="00817E14">
                <w:pPr>
                  <w:suppressLineNumbers/>
                  <w:jc w:val="center"/>
                  <w:rPr>
                    <w:rFonts w:ascii="Arial" w:hAnsi="Arial"/>
                    <w:b/>
                    <w:bCs/>
                    <w:sz w:val="26"/>
                    <w:szCs w:val="26"/>
                    <w:rtl/>
                  </w:rPr>
                </w:pPr>
                <w:r w:rsidRPr="00F038D8">
                  <w:rPr>
                    <w:rFonts w:ascii="Tahoma" w:hAnsi="Tahoma"/>
                    <w:color w:val="000080"/>
                    <w:sz w:val="32"/>
                    <w:szCs w:val="32"/>
                    <w:rtl/>
                  </w:rPr>
                  <w:t>בית המשפט המחוזי בבאר שבע</w:t>
                </w:r>
              </w:p>
            </w:sdtContent>
          </w:sdt>
          <w:p w:rsidR="00817E14" w:rsidRDefault="00817E14" w:rsidP="00CC303C">
            <w:pPr>
              <w:suppressLineNumbers/>
              <w:rPr>
                <w:rFonts w:ascii="Arial" w:hAnsi="Arial"/>
                <w:b/>
                <w:bCs/>
                <w:sz w:val="26"/>
                <w:szCs w:val="26"/>
                <w:rtl/>
              </w:rPr>
            </w:pPr>
          </w:p>
          <w:p w:rsidR="00817E14" w:rsidRDefault="00294831" w:rsidP="00817E14">
            <w:pPr>
              <w:suppressLineNumbers/>
              <w:rPr>
                <w:rFonts w:ascii="Arial" w:hAnsi="Arial"/>
                <w:b/>
                <w:bCs/>
                <w:sz w:val="26"/>
                <w:szCs w:val="26"/>
                <w:rtl/>
              </w:rPr>
            </w:pPr>
            <w:sdt>
              <w:sdtPr>
                <w:rPr>
                  <w:rtl/>
                </w:rPr>
                <w:alias w:val="1170"/>
                <w:tag w:val="1170"/>
                <w:id w:val="1066377040"/>
                <w:text w:multiLine="1"/>
              </w:sdtPr>
              <w:sdtEndPr/>
              <w:sdtContent>
                <w:proofErr w:type="spellStart"/>
                <w:r w:rsidR="00817E14">
                  <w:rPr>
                    <w:b/>
                    <w:bCs/>
                    <w:noProof w:val="0"/>
                    <w:sz w:val="26"/>
                    <w:szCs w:val="26"/>
                    <w:rtl/>
                  </w:rPr>
                  <w:t>רמ"ש</w:t>
                </w:r>
                <w:proofErr w:type="spellEnd"/>
              </w:sdtContent>
            </w:sdt>
            <w:r w:rsidR="00817E14">
              <w:rPr>
                <w:b/>
                <w:bCs/>
                <w:noProof w:val="0"/>
                <w:sz w:val="26"/>
                <w:szCs w:val="26"/>
                <w:rtl/>
              </w:rPr>
              <w:t xml:space="preserve"> </w:t>
            </w:r>
            <w:bookmarkStart w:id="0" w:name="_GoBack"/>
            <w:sdt>
              <w:sdtPr>
                <w:rPr>
                  <w:rtl/>
                </w:rPr>
                <w:alias w:val="1171"/>
                <w:tag w:val="1171"/>
                <w:id w:val="257034231"/>
                <w:text w:multiLine="1"/>
              </w:sdtPr>
              <w:sdtEndPr/>
              <w:sdtContent>
                <w:r w:rsidR="00817E14">
                  <w:rPr>
                    <w:b/>
                    <w:bCs/>
                    <w:noProof w:val="0"/>
                    <w:sz w:val="26"/>
                    <w:szCs w:val="26"/>
                    <w:rtl/>
                  </w:rPr>
                  <w:t>29865-09-23</w:t>
                </w:r>
              </w:sdtContent>
            </w:sdt>
            <w:bookmarkEnd w:id="0"/>
            <w:r w:rsidR="00817E14">
              <w:rPr>
                <w:b/>
                <w:bCs/>
                <w:noProof w:val="0"/>
                <w:sz w:val="26"/>
                <w:szCs w:val="26"/>
                <w:rtl/>
              </w:rPr>
              <w:t xml:space="preserve"> </w:t>
            </w:r>
            <w:sdt>
              <w:sdtPr>
                <w:rPr>
                  <w:b/>
                  <w:bCs/>
                  <w:noProof w:val="0"/>
                  <w:sz w:val="26"/>
                  <w:szCs w:val="26"/>
                  <w:rtl/>
                </w:rPr>
                <w:alias w:val="3154"/>
                <w:tag w:val="3154"/>
                <w:id w:val="-1714497037"/>
                <w:placeholder>
                  <w:docPart w:val="41D36915DFCF4F5CA26584E1F91662F1"/>
                </w:placeholder>
                <w:text w:multiLine="1"/>
              </w:sdtPr>
              <w:sdtEndPr/>
              <w:sdtContent>
                <w:r w:rsidR="00817E14">
                  <w:rPr>
                    <w:rFonts w:hint="cs"/>
                    <w:b/>
                    <w:bCs/>
                    <w:noProof w:val="0"/>
                    <w:sz w:val="26"/>
                    <w:szCs w:val="26"/>
                    <w:rtl/>
                  </w:rPr>
                  <w:t xml:space="preserve">פלוני </w:t>
                </w:r>
                <w:r w:rsidR="00817E14">
                  <w:rPr>
                    <w:b/>
                    <w:bCs/>
                    <w:noProof w:val="0"/>
                    <w:sz w:val="26"/>
                    <w:szCs w:val="26"/>
                    <w:rtl/>
                  </w:rPr>
                  <w:t xml:space="preserve">נ' </w:t>
                </w:r>
                <w:r w:rsidR="00817E14">
                  <w:rPr>
                    <w:rFonts w:hint="cs"/>
                    <w:b/>
                    <w:bCs/>
                    <w:noProof w:val="0"/>
                    <w:sz w:val="26"/>
                    <w:szCs w:val="26"/>
                    <w:rtl/>
                  </w:rPr>
                  <w:t>אלמונית</w:t>
                </w:r>
              </w:sdtContent>
            </w:sdt>
          </w:p>
          <w:p w:rsidR="00817E14" w:rsidRDefault="00817E14" w:rsidP="00CC303C">
            <w:pPr>
              <w:suppressLineNumbers/>
              <w:rPr>
                <w:rFonts w:ascii="Arial" w:hAnsi="Arial"/>
                <w:b/>
                <w:bCs/>
                <w:sz w:val="26"/>
                <w:szCs w:val="26"/>
                <w:rtl/>
              </w:rPr>
            </w:pPr>
          </w:p>
          <w:p w:rsidR="00817E14" w:rsidRDefault="00817E14" w:rsidP="00CC303C">
            <w:pPr>
              <w:suppressLineNumbers/>
              <w:rPr>
                <w:rFonts w:ascii="Arial" w:hAnsi="Arial"/>
                <w:b/>
                <w:bCs/>
                <w:sz w:val="26"/>
                <w:szCs w:val="26"/>
                <w:rtl/>
              </w:rPr>
            </w:pPr>
          </w:p>
          <w:p w:rsidR="00817E14" w:rsidRPr="008A59EE" w:rsidRDefault="00817E14" w:rsidP="00CC303C">
            <w:pPr>
              <w:suppressLineNumbers/>
              <w:rPr>
                <w:rFonts w:ascii="Arial" w:hAnsi="Arial"/>
                <w:b/>
                <w:bCs/>
                <w:sz w:val="26"/>
                <w:szCs w:val="26"/>
                <w:rtl/>
              </w:rPr>
            </w:pPr>
            <w:r w:rsidRPr="008A59EE">
              <w:rPr>
                <w:rFonts w:ascii="Arial" w:hAnsi="Arial" w:hint="cs"/>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פאני גילת כהן</w:t>
                </w:r>
              </w:sdtContent>
            </w:sdt>
          </w:p>
          <w:p w:rsidR="00817E14" w:rsidRPr="008A59EE" w:rsidRDefault="00817E14" w:rsidP="00CC303C">
            <w:pPr>
              <w:suppressLineNumbers/>
              <w:rPr>
                <w:sz w:val="26"/>
                <w:szCs w:val="26"/>
              </w:rPr>
            </w:pPr>
          </w:p>
        </w:tc>
      </w:tr>
      <w:tr w:rsidR="00817E14" w:rsidTr="00CC303C">
        <w:trPr>
          <w:jc w:val="center"/>
        </w:trPr>
        <w:tc>
          <w:tcPr>
            <w:tcW w:w="3249" w:type="dxa"/>
            <w:gridSpan w:val="2"/>
          </w:tcPr>
          <w:p w:rsidR="00817E14" w:rsidRDefault="00817E14" w:rsidP="00CC303C">
            <w:pPr>
              <w:suppressLineNumbers/>
              <w:rPr>
                <w:rtl/>
              </w:rPr>
            </w:pPr>
          </w:p>
          <w:sdt>
            <w:sdtPr>
              <w:rPr>
                <w:rtl/>
              </w:rPr>
              <w:alias w:val="1180"/>
              <w:tag w:val="1180"/>
              <w:id w:val="637458750"/>
              <w:text w:multiLine="1"/>
            </w:sdtPr>
            <w:sdtEndPr/>
            <w:sdtContent>
              <w:p w:rsidR="00817E14" w:rsidRDefault="00817E14" w:rsidP="00CC303C">
                <w:pPr>
                  <w:suppressLineNumbers/>
                  <w:rPr>
                    <w:rFonts w:ascii="Arial" w:hAnsi="Arial"/>
                    <w:b/>
                    <w:bCs/>
                    <w:noProof w:val="0"/>
                    <w:sz w:val="26"/>
                    <w:szCs w:val="26"/>
                    <w:rtl/>
                  </w:rPr>
                </w:pPr>
                <w:r>
                  <w:rPr>
                    <w:rFonts w:ascii="Arial" w:hAnsi="Arial" w:hint="cs"/>
                    <w:b/>
                    <w:bCs/>
                    <w:noProof w:val="0"/>
                    <w:sz w:val="26"/>
                    <w:szCs w:val="26"/>
                    <w:rtl/>
                  </w:rPr>
                  <w:t>המבקש</w:t>
                </w:r>
              </w:p>
            </w:sdtContent>
          </w:sdt>
        </w:tc>
        <w:tc>
          <w:tcPr>
            <w:tcW w:w="5571" w:type="dxa"/>
          </w:tcPr>
          <w:p w:rsidR="00817E14" w:rsidRDefault="00817E14" w:rsidP="00CC303C">
            <w:pPr>
              <w:suppressLineNumbers/>
              <w:rPr>
                <w:rtl/>
              </w:rPr>
            </w:pPr>
          </w:p>
          <w:p w:rsidR="00817E14" w:rsidRDefault="00294831" w:rsidP="00817E14">
            <w:pPr>
              <w:suppressLineNumbers/>
              <w:rPr>
                <w:b/>
                <w:bCs/>
                <w:noProof w:val="0"/>
                <w:sz w:val="26"/>
                <w:szCs w:val="26"/>
              </w:rPr>
            </w:pPr>
            <w:sdt>
              <w:sdtPr>
                <w:rPr>
                  <w:rFonts w:ascii="Arial" w:hAnsi="Arial"/>
                  <w:b/>
                  <w:bCs/>
                  <w:noProof w:val="0"/>
                  <w:sz w:val="26"/>
                  <w:szCs w:val="26"/>
                  <w:rtl/>
                </w:rPr>
                <w:alias w:val="3151"/>
                <w:tag w:val="3151"/>
                <w:id w:val="1166218717"/>
                <w:placeholder>
                  <w:docPart w:val="A32948121CD54A9F8C8BFB2B352D1FB3"/>
                </w:placeholder>
                <w:text w:multiLine="1"/>
              </w:sdtPr>
              <w:sdtEndPr/>
              <w:sdtContent>
                <w:r w:rsidR="00817E14">
                  <w:rPr>
                    <w:rFonts w:ascii="Arial" w:hAnsi="Arial" w:hint="cs"/>
                    <w:b/>
                    <w:bCs/>
                    <w:noProof w:val="0"/>
                    <w:sz w:val="26"/>
                    <w:szCs w:val="26"/>
                    <w:rtl/>
                  </w:rPr>
                  <w:t>פלוני</w:t>
                </w:r>
                <w:r w:rsidR="00817E14">
                  <w:rPr>
                    <w:rFonts w:ascii="Arial" w:hAnsi="Arial"/>
                    <w:b/>
                    <w:bCs/>
                    <w:noProof w:val="0"/>
                    <w:sz w:val="26"/>
                    <w:szCs w:val="26"/>
                    <w:rtl/>
                  </w:rPr>
                  <w:br/>
                </w:r>
                <w:r w:rsidR="00817E14">
                  <w:rPr>
                    <w:rFonts w:ascii="Arial" w:hAnsi="Arial" w:hint="cs"/>
                    <w:b/>
                    <w:bCs/>
                    <w:noProof w:val="0"/>
                    <w:sz w:val="26"/>
                    <w:szCs w:val="26"/>
                    <w:rtl/>
                  </w:rPr>
                  <w:t>באמצעות ב"כ עו"ד שי שפירא</w:t>
                </w:r>
              </w:sdtContent>
            </w:sdt>
          </w:p>
        </w:tc>
      </w:tr>
      <w:tr w:rsidR="00817E14" w:rsidTr="00CC303C">
        <w:trPr>
          <w:jc w:val="center"/>
        </w:trPr>
        <w:tc>
          <w:tcPr>
            <w:tcW w:w="8820" w:type="dxa"/>
            <w:gridSpan w:val="3"/>
          </w:tcPr>
          <w:p w:rsidR="00817E14" w:rsidRDefault="00817E14" w:rsidP="00CC303C">
            <w:pPr>
              <w:suppressLineNumbers/>
              <w:rPr>
                <w:rFonts w:ascii="Arial" w:hAnsi="Arial"/>
                <w:b/>
                <w:bCs/>
                <w:noProof w:val="0"/>
                <w:sz w:val="26"/>
                <w:szCs w:val="26"/>
                <w:rtl/>
              </w:rPr>
            </w:pPr>
          </w:p>
          <w:p w:rsidR="00817E14" w:rsidRDefault="00817E14" w:rsidP="00CC303C">
            <w:pPr>
              <w:suppressLineNumbers/>
              <w:jc w:val="center"/>
              <w:rPr>
                <w:rFonts w:ascii="Arial" w:hAnsi="Arial"/>
                <w:b/>
                <w:bCs/>
                <w:noProof w:val="0"/>
                <w:sz w:val="26"/>
                <w:szCs w:val="26"/>
              </w:rPr>
            </w:pPr>
          </w:p>
        </w:tc>
      </w:tr>
      <w:tr w:rsidR="00817E14" w:rsidTr="00CC303C">
        <w:trPr>
          <w:jc w:val="center"/>
        </w:trPr>
        <w:tc>
          <w:tcPr>
            <w:tcW w:w="3249" w:type="dxa"/>
            <w:gridSpan w:val="2"/>
          </w:tcPr>
          <w:p w:rsidR="00817E14" w:rsidRDefault="00294831" w:rsidP="00CC303C">
            <w:pPr>
              <w:suppressLineNumbers/>
              <w:rPr>
                <w:rFonts w:ascii="Arial" w:hAnsi="Arial"/>
                <w:b/>
                <w:bCs/>
                <w:noProof w:val="0"/>
                <w:sz w:val="26"/>
                <w:szCs w:val="26"/>
              </w:rPr>
            </w:pPr>
            <w:sdt>
              <w:sdtPr>
                <w:rPr>
                  <w:rtl/>
                </w:rPr>
                <w:alias w:val="1184"/>
                <w:tag w:val="1184"/>
                <w:id w:val="-340621022"/>
                <w:text w:multiLine="1"/>
              </w:sdtPr>
              <w:sdtEndPr/>
              <w:sdtContent>
                <w:r w:rsidR="00817E14">
                  <w:rPr>
                    <w:rFonts w:ascii="Arial" w:hAnsi="Arial" w:hint="cs"/>
                    <w:b/>
                    <w:bCs/>
                    <w:noProof w:val="0"/>
                    <w:sz w:val="26"/>
                    <w:szCs w:val="26"/>
                    <w:rtl/>
                  </w:rPr>
                  <w:t>המשיבה</w:t>
                </w:r>
              </w:sdtContent>
            </w:sdt>
          </w:p>
        </w:tc>
        <w:tc>
          <w:tcPr>
            <w:tcW w:w="5571" w:type="dxa"/>
          </w:tcPr>
          <w:p w:rsidR="00817E14" w:rsidRPr="00CD516B" w:rsidRDefault="00294831" w:rsidP="00817E14">
            <w:pPr>
              <w:suppressLineNumbers/>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1A01318A9BD54C169D078E5CC1B3F6E9"/>
                </w:placeholder>
                <w:text w:multiLine="1"/>
              </w:sdtPr>
              <w:sdtEndPr/>
              <w:sdtContent>
                <w:r w:rsidR="00817E14">
                  <w:rPr>
                    <w:rFonts w:ascii="Arial" w:hAnsi="Arial" w:hint="cs"/>
                    <w:b/>
                    <w:bCs/>
                    <w:noProof w:val="0"/>
                    <w:sz w:val="26"/>
                    <w:szCs w:val="26"/>
                    <w:rtl/>
                  </w:rPr>
                  <w:t>אלמונית</w:t>
                </w:r>
                <w:r w:rsidR="00817E14">
                  <w:rPr>
                    <w:rFonts w:ascii="Arial" w:hAnsi="Arial"/>
                    <w:b/>
                    <w:bCs/>
                    <w:noProof w:val="0"/>
                    <w:sz w:val="26"/>
                    <w:szCs w:val="26"/>
                    <w:rtl/>
                  </w:rPr>
                  <w:br/>
                </w:r>
                <w:r w:rsidR="00817E14">
                  <w:rPr>
                    <w:rFonts w:ascii="Arial" w:hAnsi="Arial" w:hint="cs"/>
                    <w:b/>
                    <w:bCs/>
                    <w:noProof w:val="0"/>
                    <w:sz w:val="26"/>
                    <w:szCs w:val="26"/>
                    <w:rtl/>
                  </w:rPr>
                  <w:t xml:space="preserve">באמצעות ב"כ עו"ד פתחי </w:t>
                </w:r>
                <w:proofErr w:type="spellStart"/>
                <w:r w:rsidR="00817E14">
                  <w:rPr>
                    <w:rFonts w:ascii="Arial" w:hAnsi="Arial" w:hint="cs"/>
                    <w:b/>
                    <w:bCs/>
                    <w:noProof w:val="0"/>
                    <w:sz w:val="26"/>
                    <w:szCs w:val="26"/>
                    <w:rtl/>
                  </w:rPr>
                  <w:t>שחאדה</w:t>
                </w:r>
                <w:proofErr w:type="spellEnd"/>
              </w:sdtContent>
            </w:sdt>
          </w:p>
        </w:tc>
      </w:tr>
      <w:tr w:rsidR="00817E14" w:rsidTr="00CC303C">
        <w:trPr>
          <w:jc w:val="center"/>
        </w:trPr>
        <w:tc>
          <w:tcPr>
            <w:tcW w:w="8820" w:type="dxa"/>
            <w:gridSpan w:val="3"/>
          </w:tcPr>
          <w:p w:rsidR="00817E14" w:rsidRDefault="00817E14" w:rsidP="00CC303C">
            <w:pPr>
              <w:suppressLineNumbers/>
              <w:rPr>
                <w:rtl/>
              </w:rPr>
            </w:pPr>
          </w:p>
        </w:tc>
      </w:tr>
      <w:tr w:rsidR="00817E14" w:rsidTr="00CC303C">
        <w:trPr>
          <w:jc w:val="center"/>
        </w:trPr>
        <w:tc>
          <w:tcPr>
            <w:tcW w:w="3249" w:type="dxa"/>
            <w:gridSpan w:val="2"/>
          </w:tcPr>
          <w:p w:rsidR="00817E14" w:rsidRPr="00B62AD7" w:rsidRDefault="00817E14" w:rsidP="00CC303C">
            <w:pPr>
              <w:rPr>
                <w:rFonts w:ascii="David" w:eastAsia="David" w:hAnsi="David"/>
                <w:b/>
                <w:bCs/>
                <w:noProof w:val="0"/>
              </w:rPr>
            </w:pPr>
          </w:p>
        </w:tc>
        <w:tc>
          <w:tcPr>
            <w:tcW w:w="5571" w:type="dxa"/>
          </w:tcPr>
          <w:p w:rsidR="00817E14" w:rsidRPr="00B62AD7" w:rsidRDefault="00817E14" w:rsidP="00CC303C">
            <w:pPr>
              <w:rPr>
                <w:b/>
                <w:bCs/>
                <w:sz w:val="26"/>
                <w:szCs w:val="26"/>
              </w:rPr>
            </w:pPr>
          </w:p>
        </w:tc>
      </w:tr>
      <w:tr w:rsidR="00817E14" w:rsidTr="00CC303C">
        <w:trPr>
          <w:jc w:val="center"/>
        </w:trPr>
        <w:tc>
          <w:tcPr>
            <w:tcW w:w="8820" w:type="dxa"/>
            <w:gridSpan w:val="3"/>
          </w:tcPr>
          <w:p w:rsidR="00817E14" w:rsidRDefault="00817E14" w:rsidP="00CC303C">
            <w:pPr>
              <w:suppressLineNumbers/>
              <w:rPr>
                <w:rFonts w:ascii="Arial" w:hAnsi="Arial"/>
                <w:b/>
                <w:bCs/>
                <w:noProof w:val="0"/>
                <w:sz w:val="26"/>
                <w:szCs w:val="26"/>
                <w:rtl/>
              </w:rPr>
            </w:pPr>
          </w:p>
        </w:tc>
      </w:tr>
      <w:tr w:rsidR="00817E14" w:rsidTr="00CC303C">
        <w:trPr>
          <w:jc w:val="center"/>
        </w:trPr>
        <w:tc>
          <w:tcPr>
            <w:tcW w:w="8820" w:type="dxa"/>
            <w:gridSpan w:val="3"/>
          </w:tcPr>
          <w:p w:rsidR="00817E14" w:rsidRDefault="00817E14" w:rsidP="00CC303C">
            <w:pPr>
              <w:bidi w:val="0"/>
              <w:jc w:val="center"/>
              <w:rPr>
                <w:rFonts w:ascii="Arial" w:hAnsi="Arial"/>
                <w:b/>
                <w:bCs/>
                <w:noProof w:val="0"/>
                <w:sz w:val="32"/>
                <w:szCs w:val="32"/>
                <w:u w:val="single"/>
              </w:rPr>
            </w:pPr>
            <w:bookmarkStart w:id="1" w:name="NGCSBookmark"/>
            <w:bookmarkEnd w:id="1"/>
            <w:r>
              <w:rPr>
                <w:rFonts w:ascii="Arial" w:hAnsi="Arial"/>
                <w:b/>
                <w:bCs/>
                <w:noProof w:val="0"/>
                <w:sz w:val="32"/>
                <w:szCs w:val="32"/>
                <w:u w:val="single"/>
                <w:rtl/>
              </w:rPr>
              <w:t>החלטה</w:t>
            </w:r>
          </w:p>
          <w:p w:rsidR="00817E14" w:rsidRDefault="00817E14" w:rsidP="00CC303C">
            <w:pPr>
              <w:bidi w:val="0"/>
              <w:jc w:val="center"/>
              <w:rPr>
                <w:rFonts w:ascii="Arial" w:hAnsi="Arial"/>
                <w:b/>
                <w:bCs/>
                <w:noProof w:val="0"/>
                <w:sz w:val="28"/>
                <w:szCs w:val="28"/>
                <w:u w:val="single"/>
              </w:rPr>
            </w:pPr>
          </w:p>
        </w:tc>
      </w:tr>
    </w:tbl>
    <w:p w:rsidR="00817E14" w:rsidRDefault="00817E14" w:rsidP="0035462E">
      <w:pPr>
        <w:spacing w:line="360" w:lineRule="auto"/>
        <w:jc w:val="both"/>
        <w:rPr>
          <w:rFonts w:ascii="Arial" w:hAnsi="Arial"/>
          <w:noProof w:val="0"/>
        </w:rPr>
      </w:pPr>
      <w:r>
        <w:rPr>
          <w:rFonts w:ascii="Arial" w:hAnsi="Arial"/>
          <w:noProof w:val="0"/>
          <w:rtl/>
        </w:rPr>
        <w:t xml:space="preserve">בקשת רשות הערעור שלפנינו מכוונת כנגד החלטת בית המשפט לענייני משפחה </w:t>
      </w:r>
      <w:r>
        <w:rPr>
          <w:rFonts w:ascii="Arial" w:hAnsi="Arial" w:hint="cs"/>
          <w:noProof w:val="0"/>
          <w:rtl/>
        </w:rPr>
        <w:t xml:space="preserve">באשדוד </w:t>
      </w:r>
      <w:r>
        <w:rPr>
          <w:rFonts w:ascii="Arial" w:hAnsi="Arial"/>
          <w:noProof w:val="0"/>
          <w:rtl/>
        </w:rPr>
        <w:t xml:space="preserve">מיום </w:t>
      </w:r>
      <w:r>
        <w:rPr>
          <w:rFonts w:ascii="Arial" w:hAnsi="Arial" w:hint="cs"/>
          <w:noProof w:val="0"/>
          <w:rtl/>
        </w:rPr>
        <w:t>06</w:t>
      </w:r>
      <w:r>
        <w:rPr>
          <w:rFonts w:ascii="Arial" w:hAnsi="Arial"/>
          <w:noProof w:val="0"/>
          <w:rtl/>
        </w:rPr>
        <w:t xml:space="preserve">.07.2023 </w:t>
      </w:r>
      <w:r>
        <w:rPr>
          <w:rFonts w:ascii="Arial" w:hAnsi="Arial" w:hint="cs"/>
          <w:noProof w:val="0"/>
          <w:rtl/>
        </w:rPr>
        <w:t>ב-</w:t>
      </w:r>
      <w:proofErr w:type="spellStart"/>
      <w:r>
        <w:rPr>
          <w:rFonts w:ascii="Arial" w:hAnsi="Arial" w:hint="cs"/>
          <w:noProof w:val="0"/>
          <w:rtl/>
        </w:rPr>
        <w:t>תלה"מ</w:t>
      </w:r>
      <w:proofErr w:type="spellEnd"/>
      <w:r>
        <w:rPr>
          <w:rFonts w:ascii="Arial" w:hAnsi="Arial"/>
          <w:noProof w:val="0"/>
          <w:rtl/>
        </w:rPr>
        <w:t xml:space="preserve"> </w:t>
      </w:r>
      <w:r>
        <w:rPr>
          <w:rFonts w:ascii="Arial" w:hAnsi="Arial" w:hint="cs"/>
          <w:noProof w:val="0"/>
          <w:rtl/>
        </w:rPr>
        <w:t>5448</w:t>
      </w:r>
      <w:r>
        <w:rPr>
          <w:rFonts w:ascii="Arial" w:hAnsi="Arial"/>
          <w:noProof w:val="0"/>
          <w:rtl/>
        </w:rPr>
        <w:t>-</w:t>
      </w:r>
      <w:r>
        <w:rPr>
          <w:rFonts w:ascii="Arial" w:hAnsi="Arial" w:hint="cs"/>
          <w:noProof w:val="0"/>
          <w:rtl/>
        </w:rPr>
        <w:t>10</w:t>
      </w:r>
      <w:r>
        <w:rPr>
          <w:rFonts w:ascii="Arial" w:hAnsi="Arial"/>
          <w:noProof w:val="0"/>
          <w:rtl/>
        </w:rPr>
        <w:t xml:space="preserve">-22 בגדרה </w:t>
      </w:r>
      <w:r>
        <w:rPr>
          <w:rFonts w:ascii="Arial" w:hAnsi="Arial" w:hint="cs"/>
          <w:noProof w:val="0"/>
          <w:rtl/>
        </w:rPr>
        <w:t xml:space="preserve">נדחתה בקשת המבקש לחיוב המשיבה להשתתף בתשלום החזריה החודשיים של ההלוואה המובטחת במשכנתא ורובצת על מגרש השוכן בישוב </w:t>
      </w:r>
      <w:r w:rsidR="0035462E">
        <w:rPr>
          <w:rFonts w:ascii="Arial" w:hAnsi="Arial" w:hint="cs"/>
          <w:noProof w:val="0"/>
          <w:rtl/>
        </w:rPr>
        <w:t>...</w:t>
      </w:r>
      <w:r>
        <w:rPr>
          <w:rFonts w:ascii="Arial" w:hAnsi="Arial" w:hint="cs"/>
          <w:noProof w:val="0"/>
          <w:rtl/>
        </w:rPr>
        <w:t xml:space="preserve"> ורשום ברשות מקרקעי ישראל עפ"י חוזה חכירה מהוון (להלן: "</w:t>
      </w:r>
      <w:r w:rsidRPr="00C1277D">
        <w:rPr>
          <w:rFonts w:ascii="Arial" w:hAnsi="Arial" w:hint="cs"/>
          <w:b/>
          <w:bCs/>
          <w:noProof w:val="0"/>
          <w:rtl/>
        </w:rPr>
        <w:t>המגרש</w:t>
      </w:r>
      <w:r>
        <w:rPr>
          <w:rFonts w:ascii="Arial" w:hAnsi="Arial" w:hint="cs"/>
          <w:noProof w:val="0"/>
          <w:rtl/>
        </w:rPr>
        <w:t>")</w:t>
      </w:r>
      <w:r>
        <w:rPr>
          <w:rFonts w:ascii="Arial" w:hAnsi="Arial"/>
          <w:noProof w:val="0"/>
          <w:rtl/>
        </w:rPr>
        <w:t xml:space="preserve">. </w:t>
      </w:r>
    </w:p>
    <w:p w:rsidR="00817E14" w:rsidRDefault="00817E14" w:rsidP="00817E14">
      <w:pPr>
        <w:pStyle w:val="a4"/>
        <w:spacing w:line="360" w:lineRule="auto"/>
        <w:ind w:left="85"/>
        <w:jc w:val="both"/>
        <w:rPr>
          <w:rFonts w:ascii="Arial" w:hAnsi="Arial"/>
          <w:noProof w:val="0"/>
          <w:rtl/>
        </w:rPr>
      </w:pPr>
    </w:p>
    <w:p w:rsidR="00817E14" w:rsidRDefault="00817E14" w:rsidP="00817E14">
      <w:pPr>
        <w:pStyle w:val="a4"/>
        <w:spacing w:line="360" w:lineRule="auto"/>
        <w:ind w:left="85"/>
        <w:jc w:val="both"/>
        <w:rPr>
          <w:rFonts w:ascii="Arial" w:hAnsi="Arial"/>
          <w:b/>
          <w:bCs/>
          <w:noProof w:val="0"/>
        </w:rPr>
      </w:pPr>
      <w:r>
        <w:rPr>
          <w:rFonts w:ascii="Arial" w:hAnsi="Arial"/>
          <w:b/>
          <w:bCs/>
          <w:noProof w:val="0"/>
          <w:rtl/>
        </w:rPr>
        <w:t xml:space="preserve">השאלה שבלב ההחלטה שלפנינו היא, </w:t>
      </w:r>
      <w:r>
        <w:rPr>
          <w:rFonts w:ascii="Arial" w:hAnsi="Arial" w:hint="cs"/>
          <w:b/>
          <w:bCs/>
          <w:noProof w:val="0"/>
          <w:rtl/>
        </w:rPr>
        <w:t>ה</w:t>
      </w:r>
      <w:r>
        <w:rPr>
          <w:rFonts w:ascii="Arial" w:hAnsi="Arial"/>
          <w:b/>
          <w:bCs/>
          <w:noProof w:val="0"/>
          <w:rtl/>
        </w:rPr>
        <w:t xml:space="preserve">אם יש להתערב בהחלטת בית המשפט קמא, </w:t>
      </w:r>
      <w:r>
        <w:rPr>
          <w:rFonts w:ascii="Arial" w:hAnsi="Arial" w:hint="cs"/>
          <w:b/>
          <w:bCs/>
          <w:noProof w:val="0"/>
          <w:rtl/>
        </w:rPr>
        <w:t xml:space="preserve">שניתנה במסגרת הליך שעניינו איזון משאבים ופירוק שיתוף במקרקעין כהחלטת ביניים וטרם הכרעה בעניין מסת הנכסים בני האיזון </w:t>
      </w:r>
      <w:proofErr w:type="spellStart"/>
      <w:r>
        <w:rPr>
          <w:rFonts w:ascii="Arial" w:hAnsi="Arial" w:hint="cs"/>
          <w:b/>
          <w:bCs/>
          <w:noProof w:val="0"/>
          <w:rtl/>
        </w:rPr>
        <w:t>ושוויים</w:t>
      </w:r>
      <w:proofErr w:type="spellEnd"/>
      <w:r>
        <w:rPr>
          <w:rFonts w:ascii="Arial" w:hAnsi="Arial" w:hint="cs"/>
          <w:b/>
          <w:bCs/>
          <w:noProof w:val="0"/>
          <w:rtl/>
        </w:rPr>
        <w:t xml:space="preserve">, מועד הקרע, וכמובן איזון המשאבים ביניהם ותוצאתו. </w:t>
      </w:r>
    </w:p>
    <w:p w:rsidR="00817E14" w:rsidRDefault="00817E14" w:rsidP="00817E14">
      <w:pPr>
        <w:ind w:left="85"/>
        <w:jc w:val="both"/>
        <w:rPr>
          <w:rFonts w:ascii="Arial" w:hAnsi="Arial"/>
          <w:noProof w:val="0"/>
          <w:rtl/>
        </w:rPr>
      </w:pPr>
    </w:p>
    <w:p w:rsidR="00817E14" w:rsidRDefault="00817E14" w:rsidP="00817E14">
      <w:pPr>
        <w:spacing w:after="160" w:line="360" w:lineRule="auto"/>
        <w:ind w:hanging="57"/>
        <w:contextualSpacing/>
        <w:jc w:val="both"/>
        <w:rPr>
          <w:rFonts w:ascii="David" w:eastAsia="Calibri" w:hAnsi="David"/>
          <w:b/>
          <w:bCs/>
          <w:noProof w:val="0"/>
          <w:sz w:val="26"/>
          <w:szCs w:val="26"/>
          <w:u w:val="single"/>
          <w:rtl/>
        </w:rPr>
      </w:pPr>
      <w:r>
        <w:rPr>
          <w:rFonts w:ascii="David" w:eastAsia="Calibri" w:hAnsi="David"/>
          <w:b/>
          <w:bCs/>
          <w:noProof w:val="0"/>
          <w:sz w:val="26"/>
          <w:szCs w:val="26"/>
          <w:u w:val="single"/>
          <w:rtl/>
        </w:rPr>
        <w:t>רקע כללי בקליפת אגוז</w:t>
      </w:r>
    </w:p>
    <w:p w:rsidR="00817E14" w:rsidRDefault="00817E14" w:rsidP="00817E14">
      <w:pPr>
        <w:pStyle w:val="a4"/>
        <w:numPr>
          <w:ilvl w:val="0"/>
          <w:numId w:val="1"/>
        </w:numPr>
        <w:spacing w:line="360" w:lineRule="auto"/>
        <w:jc w:val="both"/>
        <w:rPr>
          <w:rFonts w:ascii="Arial" w:hAnsi="Arial"/>
          <w:noProof w:val="0"/>
        </w:rPr>
      </w:pPr>
      <w:r>
        <w:rPr>
          <w:rFonts w:ascii="Arial" w:hAnsi="Arial"/>
          <w:noProof w:val="0"/>
          <w:rtl/>
        </w:rPr>
        <w:t xml:space="preserve">הצדדים הם בני זוג </w:t>
      </w:r>
      <w:r>
        <w:rPr>
          <w:rFonts w:ascii="Arial" w:hAnsi="Arial" w:hint="cs"/>
          <w:noProof w:val="0"/>
          <w:rtl/>
        </w:rPr>
        <w:t>הנשואים זה לזו כדת משה וישראל ולהם שתי בנות קטינות, כבנות 8.5 ו-6 שנים כיום.</w:t>
      </w:r>
    </w:p>
    <w:p w:rsidR="00817E14" w:rsidRDefault="00817E14" w:rsidP="00817E14">
      <w:pPr>
        <w:pStyle w:val="a4"/>
        <w:ind w:left="786"/>
        <w:jc w:val="both"/>
        <w:rPr>
          <w:rFonts w:ascii="Arial" w:hAnsi="Arial"/>
          <w:noProof w:val="0"/>
        </w:rPr>
      </w:pPr>
    </w:p>
    <w:p w:rsidR="00817E14" w:rsidRPr="00D43226" w:rsidRDefault="00817E14" w:rsidP="00817E14">
      <w:pPr>
        <w:pStyle w:val="a4"/>
        <w:numPr>
          <w:ilvl w:val="0"/>
          <w:numId w:val="1"/>
        </w:numPr>
        <w:spacing w:line="360" w:lineRule="auto"/>
        <w:jc w:val="both"/>
        <w:rPr>
          <w:rFonts w:ascii="Arial" w:hAnsi="Arial"/>
          <w:noProof w:val="0"/>
        </w:rPr>
      </w:pPr>
      <w:r>
        <w:rPr>
          <w:rFonts w:ascii="Arial" w:hAnsi="Arial" w:hint="cs"/>
          <w:noProof w:val="0"/>
          <w:rtl/>
        </w:rPr>
        <w:t>מן המונח לפניי עולה</w:t>
      </w:r>
      <w:r>
        <w:rPr>
          <w:rFonts w:ascii="Arial" w:hAnsi="Arial"/>
          <w:noProof w:val="0"/>
          <w:rtl/>
        </w:rPr>
        <w:t>,</w:t>
      </w:r>
      <w:r>
        <w:rPr>
          <w:rFonts w:ascii="Arial" w:hAnsi="Arial" w:hint="cs"/>
          <w:noProof w:val="0"/>
          <w:rtl/>
        </w:rPr>
        <w:t xml:space="preserve"> כי</w:t>
      </w:r>
      <w:r>
        <w:rPr>
          <w:rFonts w:ascii="Arial" w:hAnsi="Arial"/>
          <w:noProof w:val="0"/>
          <w:rtl/>
        </w:rPr>
        <w:t xml:space="preserve"> נישואי הצדדים עלו על שרטון</w:t>
      </w:r>
      <w:r>
        <w:rPr>
          <w:rFonts w:ascii="Arial" w:hAnsi="Arial" w:hint="cs"/>
          <w:noProof w:val="0"/>
          <w:rtl/>
        </w:rPr>
        <w:t xml:space="preserve"> והם אינם דרים עוד בכפיפה אחת, ובין יתר המחלוקות התלויות ועומדות ביניהם, חלוקים הם גם בעניין מועד הקרע בנישואיהם.</w:t>
      </w:r>
    </w:p>
    <w:p w:rsidR="00817E14" w:rsidRDefault="00817E14" w:rsidP="00817E14">
      <w:pPr>
        <w:pStyle w:val="a4"/>
        <w:rPr>
          <w:rFonts w:ascii="Arial" w:hAnsi="Arial"/>
          <w:noProof w:val="0"/>
        </w:rPr>
      </w:pPr>
    </w:p>
    <w:p w:rsidR="00817E14" w:rsidRPr="00600695" w:rsidRDefault="00817E14" w:rsidP="00817E14">
      <w:pPr>
        <w:pStyle w:val="a4"/>
        <w:numPr>
          <w:ilvl w:val="0"/>
          <w:numId w:val="1"/>
        </w:numPr>
        <w:spacing w:line="360" w:lineRule="auto"/>
        <w:jc w:val="both"/>
        <w:rPr>
          <w:rFonts w:ascii="Arial" w:hAnsi="Arial"/>
          <w:noProof w:val="0"/>
        </w:rPr>
      </w:pPr>
      <w:r w:rsidRPr="00600695">
        <w:rPr>
          <w:rFonts w:ascii="Arial" w:hAnsi="Arial" w:hint="cs"/>
          <w:noProof w:val="0"/>
          <w:rtl/>
        </w:rPr>
        <w:t xml:space="preserve">עוד עולה, כי במהלך נישואיהם רכשו הצדדים זכויות במגרש, הרשומות על שמם ועל שם הורי המבקש בחלקים שווים (1/4 ע"ש כל אחד מהם), אשר יועד לבניית בית מגורים דו-משפחתי עבורם ועבור הורי המבקש. </w:t>
      </w:r>
    </w:p>
    <w:p w:rsidR="00817E14" w:rsidRDefault="00817E14" w:rsidP="00817E14">
      <w:pPr>
        <w:pStyle w:val="a4"/>
        <w:numPr>
          <w:ilvl w:val="0"/>
          <w:numId w:val="1"/>
        </w:numPr>
        <w:spacing w:line="360" w:lineRule="auto"/>
        <w:jc w:val="both"/>
        <w:rPr>
          <w:rFonts w:ascii="Arial" w:hAnsi="Arial"/>
          <w:noProof w:val="0"/>
          <w:rtl/>
        </w:rPr>
      </w:pPr>
      <w:r>
        <w:rPr>
          <w:rFonts w:ascii="Arial" w:hAnsi="Arial" w:hint="cs"/>
          <w:noProof w:val="0"/>
          <w:rtl/>
        </w:rPr>
        <w:lastRenderedPageBreak/>
        <w:t xml:space="preserve">על רקע פרידתם זה מזו נתגלעו מחלוקות בין הצדדים וננקטו על ידם הליכים משפטיים רבים בבית המשפט לענייני משפחה. כיום תלויים ועומדים בעניינם הליכים </w:t>
      </w:r>
      <w:proofErr w:type="spellStart"/>
      <w:r>
        <w:rPr>
          <w:rFonts w:ascii="Arial" w:hAnsi="Arial" w:hint="cs"/>
          <w:noProof w:val="0"/>
          <w:rtl/>
        </w:rPr>
        <w:t>רכושיים</w:t>
      </w:r>
      <w:proofErr w:type="spellEnd"/>
      <w:r>
        <w:rPr>
          <w:rFonts w:ascii="Arial" w:hAnsi="Arial" w:hint="cs"/>
          <w:noProof w:val="0"/>
          <w:rtl/>
        </w:rPr>
        <w:t xml:space="preserve">-ממוניים והליך בעניין מזונות בנותיהם הקטינות.  </w:t>
      </w:r>
    </w:p>
    <w:p w:rsidR="00817E14" w:rsidRDefault="00817E14" w:rsidP="00817E14">
      <w:pPr>
        <w:pStyle w:val="a4"/>
        <w:rPr>
          <w:rFonts w:ascii="Arial" w:hAnsi="Arial"/>
          <w:noProof w:val="0"/>
        </w:rPr>
      </w:pPr>
    </w:p>
    <w:p w:rsidR="00817E14" w:rsidRDefault="00817E14" w:rsidP="00817E14">
      <w:pPr>
        <w:pStyle w:val="a4"/>
        <w:numPr>
          <w:ilvl w:val="0"/>
          <w:numId w:val="1"/>
        </w:numPr>
        <w:spacing w:line="360" w:lineRule="auto"/>
        <w:jc w:val="both"/>
        <w:rPr>
          <w:rFonts w:ascii="Arial" w:hAnsi="Arial"/>
          <w:noProof w:val="0"/>
          <w:rtl/>
        </w:rPr>
      </w:pPr>
      <w:r>
        <w:rPr>
          <w:rFonts w:ascii="Arial" w:hAnsi="Arial" w:hint="cs"/>
          <w:noProof w:val="0"/>
          <w:rtl/>
        </w:rPr>
        <w:t xml:space="preserve">ההחלטה נושא הבקשה שלפניי ניתנה בהליך שראשיתו בחודש אוקטובר אשתקד עם הגשת תביעה לאיזון  משאבים ולפירוק שיתוף ע"י המבקש </w:t>
      </w:r>
      <w:r>
        <w:rPr>
          <w:rFonts w:ascii="Arial" w:hAnsi="Arial"/>
          <w:noProof w:val="0"/>
          <w:rtl/>
        </w:rPr>
        <w:t xml:space="preserve">במסגרתה עתר, בין השאר, </w:t>
      </w:r>
      <w:r>
        <w:rPr>
          <w:rFonts w:ascii="Arial" w:hAnsi="Arial" w:hint="cs"/>
          <w:noProof w:val="0"/>
          <w:rtl/>
        </w:rPr>
        <w:t xml:space="preserve">כי בית המשפט יורה על מכירת זכויות הצדדים במגרש וחלוקת התמורה ביניהם באופן שווה  בניכוי החזרי המשכנתא בהם הוא נשא מאז חודש פברואר 2021. </w:t>
      </w:r>
      <w:r>
        <w:rPr>
          <w:rFonts w:ascii="Arial" w:hAnsi="Arial"/>
          <w:noProof w:val="0"/>
          <w:rtl/>
        </w:rPr>
        <w:t xml:space="preserve">  </w:t>
      </w:r>
    </w:p>
    <w:p w:rsidR="00817E14" w:rsidRDefault="00817E14" w:rsidP="00817E14">
      <w:pPr>
        <w:pStyle w:val="a4"/>
        <w:rPr>
          <w:rFonts w:ascii="Arial" w:hAnsi="Arial"/>
          <w:noProof w:val="0"/>
        </w:rPr>
      </w:pPr>
    </w:p>
    <w:p w:rsidR="00817E14" w:rsidRDefault="00817E14" w:rsidP="00817E14">
      <w:pPr>
        <w:pStyle w:val="a4"/>
        <w:numPr>
          <w:ilvl w:val="0"/>
          <w:numId w:val="1"/>
        </w:numPr>
        <w:spacing w:line="360" w:lineRule="auto"/>
        <w:jc w:val="both"/>
        <w:rPr>
          <w:rFonts w:ascii="Arial" w:hAnsi="Arial"/>
          <w:noProof w:val="0"/>
          <w:rtl/>
        </w:rPr>
      </w:pPr>
      <w:r>
        <w:rPr>
          <w:rFonts w:ascii="Arial" w:hAnsi="Arial" w:hint="cs"/>
          <w:noProof w:val="0"/>
          <w:rtl/>
        </w:rPr>
        <w:t>בחודש פברואר השנה הגישה המשיבה תביעה לסעד הצהרתי כנגד המבקש והוריו (</w:t>
      </w:r>
      <w:proofErr w:type="spellStart"/>
      <w:r>
        <w:rPr>
          <w:rFonts w:ascii="Arial" w:hAnsi="Arial" w:hint="cs"/>
          <w:noProof w:val="0"/>
          <w:rtl/>
        </w:rPr>
        <w:t>תמ"ש</w:t>
      </w:r>
      <w:proofErr w:type="spellEnd"/>
      <w:r>
        <w:rPr>
          <w:rFonts w:ascii="Arial" w:hAnsi="Arial" w:hint="cs"/>
          <w:noProof w:val="0"/>
          <w:rtl/>
        </w:rPr>
        <w:t xml:space="preserve"> 29152-02-23), במסגרתה עתרה כי יוצהר שהיא זכאית להירשם כבעלת מחצית מן הזכויות המגרש. </w:t>
      </w:r>
    </w:p>
    <w:p w:rsidR="00817E14" w:rsidRDefault="00817E14" w:rsidP="00817E14">
      <w:pPr>
        <w:pStyle w:val="a4"/>
        <w:rPr>
          <w:rFonts w:ascii="Arial" w:hAnsi="Arial"/>
          <w:noProof w:val="0"/>
        </w:rPr>
      </w:pPr>
    </w:p>
    <w:p w:rsidR="00817E14" w:rsidRDefault="00817E14" w:rsidP="00817E14">
      <w:pPr>
        <w:pStyle w:val="a4"/>
        <w:numPr>
          <w:ilvl w:val="0"/>
          <w:numId w:val="1"/>
        </w:numPr>
        <w:spacing w:line="360" w:lineRule="auto"/>
        <w:jc w:val="both"/>
        <w:rPr>
          <w:rFonts w:ascii="Arial" w:hAnsi="Arial"/>
          <w:noProof w:val="0"/>
        </w:rPr>
      </w:pPr>
      <w:r w:rsidRPr="008E1C0F">
        <w:rPr>
          <w:rFonts w:ascii="Arial" w:hAnsi="Arial" w:hint="cs"/>
          <w:noProof w:val="0"/>
          <w:rtl/>
        </w:rPr>
        <w:t xml:space="preserve">ביום 03.04.2023 התקיימה ישיבת קדם משפט בכל אחד מן ההליכים התלויים ועומדים בין הצדדים. בתום הדיון בהליך בו נקט המבקש ניתנה החלטה במסגרתה צוין, כי טענת המבקש בעניין חיוב המשיבה בנשיאה בהחזרי המשכנתא השוטפים נטענה בע"פ במסגרת הדיון בלא שקדמה לה בקשה בכתב מטעם מי מהצדדים, והיות שההכרעה בה טעונה הצגת תשתית ראייתית מתאימה, יש להגיש בקשה מתאימה בכתב. בית המשפט הוסיף וציין, כהאי לישנא: </w:t>
      </w:r>
      <w:r w:rsidRPr="008E1C0F">
        <w:rPr>
          <w:rFonts w:ascii="Arial" w:hAnsi="Arial" w:hint="cs"/>
          <w:b/>
          <w:bCs/>
          <w:noProof w:val="0"/>
          <w:rtl/>
        </w:rPr>
        <w:t>"מאחר שיכול שהמסמכים הנדרשים רלוונטיים להגשת תצהירים לבירור מועד הקרע, הרי שלאחר הגשת בקשות כאמור תינתנה הוראות ביחס להגשת ראיות לעניין מועד הקרע ובירורו".</w:t>
      </w:r>
      <w:r w:rsidRPr="008E1C0F">
        <w:rPr>
          <w:rFonts w:ascii="Arial" w:hAnsi="Arial" w:hint="cs"/>
          <w:noProof w:val="0"/>
          <w:rtl/>
        </w:rPr>
        <w:t xml:space="preserve">  במסגרת הדיון בהליך </w:t>
      </w:r>
      <w:proofErr w:type="spellStart"/>
      <w:r w:rsidRPr="008E1C0F">
        <w:rPr>
          <w:rFonts w:ascii="Arial" w:hAnsi="Arial" w:hint="cs"/>
          <w:noProof w:val="0"/>
          <w:rtl/>
        </w:rPr>
        <w:t>הרכושי</w:t>
      </w:r>
      <w:proofErr w:type="spellEnd"/>
      <w:r w:rsidRPr="008E1C0F">
        <w:rPr>
          <w:rFonts w:ascii="Arial" w:hAnsi="Arial" w:hint="cs"/>
          <w:noProof w:val="0"/>
          <w:rtl/>
        </w:rPr>
        <w:t xml:space="preserve"> בו נקטה המשיבה הגיעו הצדדים להסדר דיוני, שקיבל תוקף של החלטה, לפיו יוגשו תוך 60 יום תצהירים </w:t>
      </w:r>
      <w:r>
        <w:rPr>
          <w:rFonts w:ascii="Arial" w:hAnsi="Arial" w:hint="cs"/>
          <w:noProof w:val="0"/>
          <w:rtl/>
        </w:rPr>
        <w:t xml:space="preserve">מטעמם </w:t>
      </w:r>
      <w:r w:rsidRPr="008E1C0F">
        <w:rPr>
          <w:rFonts w:ascii="Arial" w:hAnsi="Arial" w:hint="cs"/>
          <w:noProof w:val="0"/>
          <w:rtl/>
        </w:rPr>
        <w:t>ובהם פירוט התשלומים ב</w:t>
      </w:r>
      <w:r>
        <w:rPr>
          <w:rFonts w:ascii="Arial" w:hAnsi="Arial" w:hint="cs"/>
          <w:noProof w:val="0"/>
          <w:rtl/>
        </w:rPr>
        <w:t xml:space="preserve">הם </w:t>
      </w:r>
      <w:r w:rsidRPr="008E1C0F">
        <w:rPr>
          <w:rFonts w:ascii="Arial" w:hAnsi="Arial" w:hint="cs"/>
          <w:noProof w:val="0"/>
          <w:rtl/>
        </w:rPr>
        <w:t xml:space="preserve">נשא כל אחד מהם לשם מימון רכישת הזכויות במגרש בצירוף אסמכתאות, וככל שלא יעלה בידיהם להגיע להסכמות לאחר חשיפת המידע, יקבע מועד נוסף לדיון.   </w:t>
      </w:r>
    </w:p>
    <w:p w:rsidR="00817E14" w:rsidRPr="008E1C0F" w:rsidRDefault="00817E14" w:rsidP="00817E14">
      <w:pPr>
        <w:pStyle w:val="a4"/>
        <w:rPr>
          <w:rFonts w:ascii="Arial" w:hAnsi="Arial"/>
          <w:noProof w:val="0"/>
          <w:rtl/>
        </w:rPr>
      </w:pPr>
    </w:p>
    <w:p w:rsidR="00817E14" w:rsidRDefault="00817E14" w:rsidP="00817E14">
      <w:pPr>
        <w:pStyle w:val="a4"/>
        <w:numPr>
          <w:ilvl w:val="0"/>
          <w:numId w:val="1"/>
        </w:numPr>
        <w:spacing w:line="360" w:lineRule="auto"/>
        <w:jc w:val="both"/>
        <w:rPr>
          <w:rFonts w:ascii="Arial" w:hAnsi="Arial"/>
          <w:noProof w:val="0"/>
        </w:rPr>
      </w:pPr>
      <w:r>
        <w:rPr>
          <w:rFonts w:ascii="Arial" w:hAnsi="Arial" w:hint="cs"/>
          <w:noProof w:val="0"/>
          <w:rtl/>
        </w:rPr>
        <w:t>יצוין, כי מעיון בתיק המתנהל בפני בית המשפט קמא בהליך האמור (</w:t>
      </w:r>
      <w:proofErr w:type="spellStart"/>
      <w:r>
        <w:rPr>
          <w:rFonts w:ascii="Arial" w:hAnsi="Arial" w:hint="cs"/>
          <w:noProof w:val="0"/>
          <w:rtl/>
        </w:rPr>
        <w:t>תמ"ש</w:t>
      </w:r>
      <w:proofErr w:type="spellEnd"/>
      <w:r>
        <w:rPr>
          <w:rFonts w:ascii="Arial" w:hAnsi="Arial" w:hint="cs"/>
          <w:noProof w:val="0"/>
          <w:rtl/>
        </w:rPr>
        <w:t xml:space="preserve"> 29152-02-23) עולה, כי למרות ההחלטה לא הוגש מאום ע"י המבקש והוריו, ואילו המשיבה הגישה ביום 16.08.2023 תצהיר קצר לפיו אין בידה אסמכתאות לעניין מימון רכישת הזכויות במגרש, שעה שהמבקש טיפל בלעדית בכל הכרוך בכך, אך למיטב ידיעתה מלוא התמורה עבור הזכויות במגרש שולם ע"י הצדדים, ואילו הורי המבקש לא נשאו בשום תשלום שהוא. יוער, כי בחלוף למעלה משישה חודשים ממועד מתן ההחלטה, ביום 22.10.2023, ניתנה החלטה על פיה נדרש ב"כ המבקש והוריו להבהיר מדוע טרם הוגש התצהיר מטעמם. יוער, כי במועד כתיבת השורות הללו טרם הוגשה ההבהרה הדרושה. </w:t>
      </w:r>
    </w:p>
    <w:p w:rsidR="0035462E" w:rsidRPr="0035462E" w:rsidRDefault="0035462E" w:rsidP="0035462E">
      <w:pPr>
        <w:pStyle w:val="a4"/>
        <w:rPr>
          <w:rFonts w:ascii="Arial" w:hAnsi="Arial"/>
          <w:noProof w:val="0"/>
          <w:rtl/>
        </w:rPr>
      </w:pPr>
    </w:p>
    <w:p w:rsidR="00817E14" w:rsidRDefault="00817E14" w:rsidP="00817E14">
      <w:pPr>
        <w:pStyle w:val="a4"/>
        <w:numPr>
          <w:ilvl w:val="0"/>
          <w:numId w:val="1"/>
        </w:numPr>
        <w:spacing w:line="360" w:lineRule="auto"/>
        <w:jc w:val="both"/>
        <w:rPr>
          <w:rFonts w:ascii="Arial" w:hAnsi="Arial"/>
          <w:noProof w:val="0"/>
        </w:rPr>
      </w:pPr>
      <w:r>
        <w:rPr>
          <w:rFonts w:ascii="Arial" w:hAnsi="Arial" w:hint="cs"/>
          <w:noProof w:val="0"/>
          <w:rtl/>
        </w:rPr>
        <w:t xml:space="preserve">ביום 29.05.2023, הרבה מעבר לזמן שבית המשפט קצב לכך, הגיש המבקש בקשה לחיוב המשיבה להשתתף בתשלום החזרי המשכנתא השוטפים. </w:t>
      </w:r>
    </w:p>
    <w:p w:rsidR="00817E14" w:rsidRPr="001F4A04" w:rsidRDefault="00817E14" w:rsidP="00817E14">
      <w:pPr>
        <w:pStyle w:val="a4"/>
        <w:rPr>
          <w:rFonts w:ascii="Arial" w:hAnsi="Arial"/>
          <w:noProof w:val="0"/>
          <w:rtl/>
        </w:rPr>
      </w:pPr>
    </w:p>
    <w:p w:rsidR="00817E14" w:rsidRPr="00406F8F" w:rsidRDefault="00817E14" w:rsidP="00817E14">
      <w:pPr>
        <w:pStyle w:val="a4"/>
        <w:numPr>
          <w:ilvl w:val="0"/>
          <w:numId w:val="1"/>
        </w:numPr>
        <w:spacing w:line="360" w:lineRule="auto"/>
        <w:jc w:val="both"/>
        <w:rPr>
          <w:rFonts w:ascii="Arial" w:hAnsi="Arial"/>
          <w:noProof w:val="0"/>
          <w:rtl/>
        </w:rPr>
      </w:pPr>
      <w:r w:rsidRPr="00406F8F">
        <w:rPr>
          <w:rFonts w:ascii="Arial" w:hAnsi="Arial" w:hint="cs"/>
          <w:noProof w:val="0"/>
          <w:rtl/>
        </w:rPr>
        <w:t xml:space="preserve">לאחר שנתקבלה תגובת המשיבה לבקשה האמורה, ניתנה ביום 06.07.2023 ההחלטה נושא בקשת רשות הערעור שלפנינו על פיה נדחתה בקשת המבקשת ונקבע בה לאמור:  </w:t>
      </w:r>
      <w:r>
        <w:rPr>
          <w:rFonts w:ascii="Arial" w:hAnsi="Arial" w:hint="cs"/>
          <w:b/>
          <w:bCs/>
          <w:noProof w:val="0"/>
          <w:rtl/>
        </w:rPr>
        <w:lastRenderedPageBreak/>
        <w:t xml:space="preserve">"לאחר שעיינתי בבקשה ובתגובה, </w:t>
      </w:r>
      <w:r w:rsidRPr="00406F8F">
        <w:rPr>
          <w:rFonts w:ascii="Arial" w:hAnsi="Arial" w:hint="cs"/>
          <w:b/>
          <w:bCs/>
          <w:noProof w:val="0"/>
          <w:rtl/>
        </w:rPr>
        <w:t>בשים לב לכך שבין הצדדים מחלוקות בכל הנוגע לכלל איזון המשאבים וזכויות כל צד ושעה שעולה כי עד למועד הגשת הבקשה שולמה המשכנתא מחשבון המבקש לא מצאתי מקום בשלב זה להורות על חיוב המשיבה בתשלום מחצית המשכנתא וטענות הצדדים בעניין זה יתבררו במסגרת ההליכים התלויים ועומדים.</w:t>
      </w:r>
      <w:r>
        <w:rPr>
          <w:rFonts w:ascii="Arial" w:hAnsi="Arial" w:hint="cs"/>
          <w:b/>
          <w:bCs/>
          <w:noProof w:val="0"/>
          <w:rtl/>
        </w:rPr>
        <w:t>.</w:t>
      </w:r>
      <w:r w:rsidRPr="00406F8F">
        <w:rPr>
          <w:rFonts w:ascii="Arial" w:hAnsi="Arial" w:hint="cs"/>
          <w:b/>
          <w:bCs/>
          <w:noProof w:val="0"/>
          <w:rtl/>
        </w:rPr>
        <w:t>."</w:t>
      </w:r>
      <w:r w:rsidRPr="00406F8F">
        <w:rPr>
          <w:rFonts w:ascii="Arial" w:hAnsi="Arial" w:hint="cs"/>
          <w:noProof w:val="0"/>
          <w:rtl/>
        </w:rPr>
        <w:t xml:space="preserve">. </w:t>
      </w:r>
    </w:p>
    <w:p w:rsidR="00817E14" w:rsidRPr="00585878" w:rsidRDefault="00817E14" w:rsidP="00817E14">
      <w:pPr>
        <w:rPr>
          <w:rFonts w:ascii="Arial" w:hAnsi="Arial"/>
          <w:noProof w:val="0"/>
        </w:rPr>
      </w:pPr>
    </w:p>
    <w:p w:rsidR="00817E14" w:rsidRDefault="00817E14" w:rsidP="00817E14">
      <w:pPr>
        <w:pStyle w:val="a4"/>
        <w:numPr>
          <w:ilvl w:val="0"/>
          <w:numId w:val="1"/>
        </w:numPr>
        <w:spacing w:line="360" w:lineRule="auto"/>
        <w:jc w:val="both"/>
        <w:rPr>
          <w:rFonts w:ascii="Arial" w:hAnsi="Arial"/>
          <w:noProof w:val="0"/>
          <w:rtl/>
        </w:rPr>
      </w:pPr>
      <w:r>
        <w:rPr>
          <w:rFonts w:ascii="Arial" w:hAnsi="Arial"/>
          <w:noProof w:val="0"/>
          <w:rtl/>
        </w:rPr>
        <w:t xml:space="preserve">המבקש לא השלים עם ההחלטה </w:t>
      </w:r>
      <w:r>
        <w:rPr>
          <w:rFonts w:ascii="Arial" w:hAnsi="Arial" w:hint="cs"/>
          <w:noProof w:val="0"/>
          <w:rtl/>
        </w:rPr>
        <w:t xml:space="preserve">וכאמור, </w:t>
      </w:r>
      <w:r>
        <w:rPr>
          <w:rFonts w:ascii="Arial" w:hAnsi="Arial"/>
          <w:noProof w:val="0"/>
          <w:rtl/>
        </w:rPr>
        <w:t xml:space="preserve">הגיש </w:t>
      </w:r>
      <w:r>
        <w:rPr>
          <w:rFonts w:ascii="Arial" w:hAnsi="Arial" w:hint="cs"/>
          <w:noProof w:val="0"/>
          <w:rtl/>
        </w:rPr>
        <w:t>ה</w:t>
      </w:r>
      <w:r>
        <w:rPr>
          <w:rFonts w:ascii="Arial" w:hAnsi="Arial"/>
          <w:noProof w:val="0"/>
          <w:rtl/>
        </w:rPr>
        <w:t>בקש</w:t>
      </w:r>
      <w:r>
        <w:rPr>
          <w:rFonts w:ascii="Arial" w:hAnsi="Arial" w:hint="cs"/>
          <w:noProof w:val="0"/>
          <w:rtl/>
        </w:rPr>
        <w:t>ה</w:t>
      </w:r>
      <w:r>
        <w:rPr>
          <w:rFonts w:ascii="Arial" w:hAnsi="Arial"/>
          <w:noProof w:val="0"/>
          <w:rtl/>
        </w:rPr>
        <w:t xml:space="preserve"> </w:t>
      </w:r>
      <w:r>
        <w:rPr>
          <w:rFonts w:ascii="Arial" w:hAnsi="Arial" w:hint="cs"/>
          <w:noProof w:val="0"/>
          <w:rtl/>
        </w:rPr>
        <w:t xml:space="preserve">שלפנינו לקבלת </w:t>
      </w:r>
      <w:r>
        <w:rPr>
          <w:rFonts w:ascii="Arial" w:hAnsi="Arial"/>
          <w:noProof w:val="0"/>
          <w:rtl/>
        </w:rPr>
        <w:t xml:space="preserve">רשות לערער עליה.  </w:t>
      </w:r>
    </w:p>
    <w:p w:rsidR="00817E14" w:rsidRDefault="00817E14" w:rsidP="00817E14">
      <w:pPr>
        <w:pStyle w:val="a4"/>
        <w:rPr>
          <w:rFonts w:ascii="Arial" w:hAnsi="Arial"/>
          <w:noProof w:val="0"/>
        </w:rPr>
      </w:pPr>
    </w:p>
    <w:p w:rsidR="00817E14" w:rsidRDefault="00817E14" w:rsidP="00817E14">
      <w:pPr>
        <w:pStyle w:val="a4"/>
        <w:numPr>
          <w:ilvl w:val="0"/>
          <w:numId w:val="1"/>
        </w:numPr>
        <w:spacing w:line="360" w:lineRule="auto"/>
        <w:jc w:val="both"/>
        <w:rPr>
          <w:rFonts w:ascii="Arial" w:hAnsi="Arial"/>
          <w:noProof w:val="0"/>
          <w:rtl/>
        </w:rPr>
      </w:pPr>
      <w:r>
        <w:rPr>
          <w:rFonts w:ascii="Arial" w:hAnsi="Arial"/>
          <w:noProof w:val="0"/>
          <w:rtl/>
        </w:rPr>
        <w:t xml:space="preserve">לאחר שנתבקשה לעשות כן, </w:t>
      </w:r>
      <w:r>
        <w:rPr>
          <w:rFonts w:ascii="Arial" w:hAnsi="Arial" w:hint="cs"/>
          <w:noProof w:val="0"/>
          <w:rtl/>
        </w:rPr>
        <w:t xml:space="preserve">הוגשה </w:t>
      </w:r>
      <w:r>
        <w:rPr>
          <w:rFonts w:ascii="Arial" w:hAnsi="Arial"/>
          <w:noProof w:val="0"/>
          <w:rtl/>
        </w:rPr>
        <w:t xml:space="preserve">ביום </w:t>
      </w:r>
      <w:r>
        <w:rPr>
          <w:rFonts w:ascii="Arial" w:hAnsi="Arial" w:hint="cs"/>
          <w:noProof w:val="0"/>
          <w:rtl/>
        </w:rPr>
        <w:t>24</w:t>
      </w:r>
      <w:r>
        <w:rPr>
          <w:rFonts w:ascii="Arial" w:hAnsi="Arial"/>
          <w:noProof w:val="0"/>
          <w:rtl/>
        </w:rPr>
        <w:t xml:space="preserve">.10.2023 </w:t>
      </w:r>
      <w:r>
        <w:rPr>
          <w:rFonts w:ascii="Arial" w:hAnsi="Arial" w:hint="cs"/>
          <w:noProof w:val="0"/>
          <w:rtl/>
        </w:rPr>
        <w:t>תגובת המשיבה</w:t>
      </w:r>
      <w:r>
        <w:rPr>
          <w:rFonts w:ascii="Arial" w:hAnsi="Arial"/>
          <w:noProof w:val="0"/>
          <w:rtl/>
        </w:rPr>
        <w:t xml:space="preserve">, ומכאן </w:t>
      </w:r>
      <w:r>
        <w:rPr>
          <w:rFonts w:ascii="Arial" w:hAnsi="Arial" w:hint="cs"/>
          <w:noProof w:val="0"/>
          <w:rtl/>
        </w:rPr>
        <w:t>ה</w:t>
      </w:r>
      <w:r>
        <w:rPr>
          <w:rFonts w:ascii="Arial" w:hAnsi="Arial"/>
          <w:noProof w:val="0"/>
          <w:rtl/>
        </w:rPr>
        <w:t xml:space="preserve">החלטה </w:t>
      </w:r>
      <w:r>
        <w:rPr>
          <w:rFonts w:ascii="Arial" w:hAnsi="Arial" w:hint="cs"/>
          <w:noProof w:val="0"/>
          <w:rtl/>
        </w:rPr>
        <w:t>דנא</w:t>
      </w:r>
      <w:r>
        <w:rPr>
          <w:rFonts w:ascii="Arial" w:hAnsi="Arial"/>
          <w:noProof w:val="0"/>
          <w:rtl/>
        </w:rPr>
        <w:t xml:space="preserve">. </w:t>
      </w:r>
    </w:p>
    <w:p w:rsidR="00817E14" w:rsidRDefault="00817E14" w:rsidP="00817E14">
      <w:pPr>
        <w:pStyle w:val="a4"/>
        <w:ind w:left="794"/>
        <w:jc w:val="both"/>
        <w:rPr>
          <w:rFonts w:ascii="Arial" w:hAnsi="Arial"/>
          <w:noProof w:val="0"/>
        </w:rPr>
      </w:pPr>
    </w:p>
    <w:p w:rsidR="00817E14" w:rsidRDefault="00817E14" w:rsidP="00817E14">
      <w:pPr>
        <w:spacing w:after="160" w:line="360" w:lineRule="auto"/>
        <w:ind w:hanging="57"/>
        <w:contextualSpacing/>
        <w:jc w:val="both"/>
        <w:rPr>
          <w:rFonts w:ascii="David" w:eastAsia="Calibri" w:hAnsi="David"/>
          <w:b/>
          <w:bCs/>
          <w:noProof w:val="0"/>
          <w:sz w:val="26"/>
          <w:szCs w:val="26"/>
          <w:u w:val="single"/>
          <w:rtl/>
        </w:rPr>
      </w:pPr>
      <w:r>
        <w:rPr>
          <w:rFonts w:ascii="David" w:eastAsia="Calibri" w:hAnsi="David"/>
          <w:b/>
          <w:bCs/>
          <w:noProof w:val="0"/>
          <w:sz w:val="26"/>
          <w:szCs w:val="26"/>
          <w:u w:val="single"/>
          <w:rtl/>
        </w:rPr>
        <w:t>תמצית טענות הצדדים</w:t>
      </w:r>
    </w:p>
    <w:p w:rsidR="00817E14" w:rsidRDefault="00817E14" w:rsidP="00817E14">
      <w:pPr>
        <w:pStyle w:val="a4"/>
        <w:numPr>
          <w:ilvl w:val="0"/>
          <w:numId w:val="1"/>
        </w:numPr>
        <w:spacing w:line="360" w:lineRule="auto"/>
        <w:jc w:val="both"/>
        <w:rPr>
          <w:rFonts w:ascii="Arial" w:hAnsi="Arial"/>
          <w:noProof w:val="0"/>
        </w:rPr>
      </w:pPr>
      <w:r w:rsidRPr="00B8237F">
        <w:rPr>
          <w:rFonts w:ascii="Arial" w:hAnsi="Arial"/>
          <w:noProof w:val="0"/>
          <w:u w:val="single"/>
          <w:rtl/>
        </w:rPr>
        <w:t>לטענת המבקש</w:t>
      </w:r>
      <w:r>
        <w:rPr>
          <w:rFonts w:ascii="Arial" w:hAnsi="Arial"/>
          <w:noProof w:val="0"/>
          <w:rtl/>
        </w:rPr>
        <w:t>, שגה בית המשפט קמא בהחלטתו,</w:t>
      </w:r>
      <w:r>
        <w:rPr>
          <w:rFonts w:ascii="Arial" w:hAnsi="Arial" w:hint="cs"/>
          <w:noProof w:val="0"/>
          <w:rtl/>
        </w:rPr>
        <w:t xml:space="preserve"> </w:t>
      </w:r>
      <w:r>
        <w:rPr>
          <w:rFonts w:ascii="Arial" w:hAnsi="Arial"/>
          <w:noProof w:val="0"/>
          <w:rtl/>
        </w:rPr>
        <w:t xml:space="preserve">שעה </w:t>
      </w:r>
      <w:r>
        <w:rPr>
          <w:rFonts w:ascii="Arial" w:hAnsi="Arial" w:hint="cs"/>
          <w:noProof w:val="0"/>
          <w:rtl/>
        </w:rPr>
        <w:t>שסוגיית הנשיאה בהחזרי המשכנתא אינה נוגעת לאיזון המשאבים בין הצדדים, ואין לכפות עליו לשאת בחלקה של המשיבה בהחזרי המשכנתא משהצדדים פרודים ונוהגת ביניהם הפרדה כלכלית מוחלטת</w:t>
      </w:r>
      <w:r>
        <w:rPr>
          <w:rFonts w:ascii="Arial" w:hAnsi="Arial"/>
          <w:noProof w:val="0"/>
          <w:rtl/>
        </w:rPr>
        <w:t xml:space="preserve">; </w:t>
      </w:r>
      <w:r>
        <w:rPr>
          <w:rFonts w:ascii="Arial" w:hAnsi="Arial" w:hint="cs"/>
          <w:noProof w:val="0"/>
          <w:rtl/>
        </w:rPr>
        <w:t xml:space="preserve">העובדה שהחזרי המשכנתא בוצעו מחשבון הבנק שלו  אינה רלוונטית היות שהנסיבות השתנו והצדדים אינם דרים עוד יחד ואינם מנהלים משק בית משותף; ההחלטה אינה הוגנת ואינה מנומקת; למשיבה יכולת כלכלית גבוהה מזו הנטענת על ידה והיא מסוגלת לשאת, לכל הפחות, ברבע מגובה ההחזר החודשי של המשכנתא;  הוא עצמו כורע תחת נטל הנשיאה בהחזרי המשכנתא, עד כי הוא עלול למצוא עצמו ניצב בפני החלטה האם להמשיך לשאת בהם או בדמי המזונות הזמניים שנפסקו עבור בנות הצדדים הקטינות, וברי כי יבחר בתשלום דמי המזונות הזמניים ובכך יגרור הדבר הליכי מימוש של המגרש ע"י הבנק למשכנתאות ובכך יגרם נזק כספי לצדדים. </w:t>
      </w:r>
      <w:r>
        <w:rPr>
          <w:rFonts w:ascii="Arial" w:hAnsi="Arial"/>
          <w:noProof w:val="0"/>
          <w:rtl/>
        </w:rPr>
        <w:t xml:space="preserve">לפיכך </w:t>
      </w:r>
      <w:r>
        <w:rPr>
          <w:rFonts w:ascii="Arial" w:hAnsi="Arial" w:hint="cs"/>
          <w:noProof w:val="0"/>
          <w:rtl/>
        </w:rPr>
        <w:t xml:space="preserve">הוא </w:t>
      </w:r>
      <w:r>
        <w:rPr>
          <w:rFonts w:ascii="Arial" w:hAnsi="Arial"/>
          <w:noProof w:val="0"/>
          <w:rtl/>
        </w:rPr>
        <w:t>עותר</w:t>
      </w:r>
      <w:r>
        <w:rPr>
          <w:rFonts w:ascii="Arial" w:hAnsi="Arial" w:hint="cs"/>
          <w:noProof w:val="0"/>
          <w:rtl/>
        </w:rPr>
        <w:t>,</w:t>
      </w:r>
      <w:r>
        <w:rPr>
          <w:rFonts w:ascii="Arial" w:hAnsi="Arial"/>
          <w:noProof w:val="0"/>
          <w:rtl/>
        </w:rPr>
        <w:t xml:space="preserve"> כי תינתן לו רשות </w:t>
      </w:r>
      <w:r>
        <w:rPr>
          <w:rFonts w:ascii="Arial" w:hAnsi="Arial" w:hint="cs"/>
          <w:noProof w:val="0"/>
          <w:rtl/>
        </w:rPr>
        <w:t xml:space="preserve">לערער </w:t>
      </w:r>
      <w:r>
        <w:rPr>
          <w:rFonts w:ascii="Arial" w:hAnsi="Arial"/>
          <w:noProof w:val="0"/>
          <w:rtl/>
        </w:rPr>
        <w:t>על ההחלטה</w:t>
      </w:r>
      <w:r>
        <w:rPr>
          <w:rFonts w:ascii="Arial" w:hAnsi="Arial" w:hint="cs"/>
          <w:noProof w:val="0"/>
          <w:rtl/>
        </w:rPr>
        <w:t>, כי הערעור יתקבל והמשיבה תחויב לשאת במחצית או, למצער, ברבע מהחזרי המשכנתא השוטפים</w:t>
      </w:r>
      <w:r>
        <w:rPr>
          <w:rFonts w:ascii="Arial" w:hAnsi="Arial"/>
          <w:noProof w:val="0"/>
          <w:rtl/>
        </w:rPr>
        <w:t xml:space="preserve">.  </w:t>
      </w:r>
    </w:p>
    <w:p w:rsidR="00817E14" w:rsidRDefault="00817E14" w:rsidP="00817E14">
      <w:pPr>
        <w:pStyle w:val="a4"/>
        <w:spacing w:line="360" w:lineRule="auto"/>
        <w:ind w:left="1080"/>
        <w:jc w:val="both"/>
        <w:rPr>
          <w:rFonts w:ascii="Arial" w:hAnsi="Arial"/>
          <w:noProof w:val="0"/>
        </w:rPr>
      </w:pPr>
    </w:p>
    <w:p w:rsidR="00817E14" w:rsidRDefault="00817E14" w:rsidP="00817E14">
      <w:pPr>
        <w:pStyle w:val="a4"/>
        <w:numPr>
          <w:ilvl w:val="0"/>
          <w:numId w:val="1"/>
        </w:numPr>
        <w:spacing w:line="360" w:lineRule="auto"/>
        <w:jc w:val="both"/>
        <w:rPr>
          <w:rFonts w:ascii="Arial" w:hAnsi="Arial"/>
          <w:noProof w:val="0"/>
        </w:rPr>
      </w:pPr>
      <w:r w:rsidRPr="00050C37">
        <w:rPr>
          <w:rFonts w:ascii="Arial" w:hAnsi="Arial"/>
          <w:noProof w:val="0"/>
          <w:u w:val="single"/>
          <w:rtl/>
        </w:rPr>
        <w:t>המשיבה</w:t>
      </w:r>
      <w:r>
        <w:rPr>
          <w:rFonts w:ascii="Arial" w:hAnsi="Arial"/>
          <w:noProof w:val="0"/>
          <w:rtl/>
        </w:rPr>
        <w:t xml:space="preserve"> מצדה טוענת, כי עסקינן בהחלטת ביניים, </w:t>
      </w:r>
      <w:r>
        <w:rPr>
          <w:rFonts w:ascii="Arial" w:hAnsi="Arial" w:hint="cs"/>
          <w:noProof w:val="0"/>
          <w:rtl/>
        </w:rPr>
        <w:t xml:space="preserve">נכונה, מנומקת וצודקת, שעניינה אינו אלא שמירה על המצב הקיים; </w:t>
      </w:r>
      <w:r>
        <w:rPr>
          <w:rFonts w:ascii="Arial" w:hAnsi="Arial"/>
          <w:noProof w:val="0"/>
          <w:rtl/>
        </w:rPr>
        <w:t xml:space="preserve">בדין </w:t>
      </w:r>
      <w:r>
        <w:rPr>
          <w:rFonts w:ascii="Arial" w:hAnsi="Arial" w:hint="cs"/>
          <w:noProof w:val="0"/>
          <w:rtl/>
        </w:rPr>
        <w:t xml:space="preserve">ניתנה ההחלטה, בהינתן ניהול ההליך ע"י המבקש בחוסר תום לב ובחוסר ניקיון כפיים, </w:t>
      </w:r>
      <w:r>
        <w:rPr>
          <w:rFonts w:ascii="Arial" w:hAnsi="Arial"/>
          <w:noProof w:val="0"/>
          <w:rtl/>
        </w:rPr>
        <w:t>שעה ש</w:t>
      </w:r>
      <w:r>
        <w:rPr>
          <w:rFonts w:ascii="Arial" w:hAnsi="Arial" w:hint="cs"/>
          <w:noProof w:val="0"/>
          <w:rtl/>
        </w:rPr>
        <w:t xml:space="preserve">טרם הומצאו על ידו האסמכתאות המעידות על גובה הסכומים ששולמו אגב מימון הרכישה של המגרש ועל זהות הנושא בהם, על אף  שהן מצויות בחזקתו ובשליטתו </w:t>
      </w:r>
      <w:r>
        <w:rPr>
          <w:rFonts w:ascii="Arial" w:hAnsi="Arial"/>
          <w:noProof w:val="0"/>
          <w:rtl/>
        </w:rPr>
        <w:t>–</w:t>
      </w:r>
      <w:r>
        <w:rPr>
          <w:rFonts w:ascii="Arial" w:hAnsi="Arial" w:hint="cs"/>
          <w:noProof w:val="0"/>
          <w:rtl/>
        </w:rPr>
        <w:t xml:space="preserve"> מחדל שכשלעצמו תומך בטענותיה; לדידה, דמי המזונות הזמניים שנפסקו עבור הקטינות הם על הצד הנמוך ואינם כוללים השתתפות בהוצאות מדור, על אף שנקבע, בהסכמה, כי משמורתן הבלעדית תהא לה והמבקש אינו חפץ בקיום הסדרי שהייה עמן;  ככל שהמבקש יסכים למכירת המגרש ללא דיחוי ואף טרם מתן פסק הדין, יתייתר הצורך בתשלום החזרי המשכנתא ובדיון בחלוקת הנשיאה בהם; הוכח על ידה בכתבי בי הדין שלה, כי מלוא התמורה עבור הזכויות במגרש שולם על ידי הצדדים, ולא בכדי נמנע המבקש מהצגת המסמכים שברשותו, אשר יש בהם לשפוך אור על העובדות, והוא עושה כן בחוסר תום לב ביודעו שמצבה הכלכלי קשה ואין </w:t>
      </w:r>
      <w:r>
        <w:rPr>
          <w:rFonts w:ascii="Arial" w:hAnsi="Arial" w:hint="cs"/>
          <w:noProof w:val="0"/>
          <w:rtl/>
        </w:rPr>
        <w:lastRenderedPageBreak/>
        <w:t xml:space="preserve">באפשרותה להשתתף בתשלום החזרי המשכנתא;  היא אינה מתנערת מחובתה לשאת בתשלום מחצית מן ההלוואות שהובטחו במשכנתא, אך היות שלשיטתה, היא זכאית לקבל כספים מידי המבקש אגב איזון המשאבים ביניהם וטרם נקבע מועד הקרע, אין מקום לחייבה בשלב זה לעשות כן, תוך הבהרה שהיא חפצה בפירוק השיתוף במגרש ובמכירתו בתנאי שוק חופשי. משכך, עותרת המשיבה לדחיית בקשת רשות הערעור, תוך חיוב המבקש בהוצאות משפט.  </w:t>
      </w:r>
    </w:p>
    <w:p w:rsidR="00817E14" w:rsidRDefault="00817E14" w:rsidP="00817E14">
      <w:pPr>
        <w:pStyle w:val="a4"/>
        <w:ind w:left="794"/>
        <w:jc w:val="both"/>
        <w:rPr>
          <w:rFonts w:ascii="Arial" w:hAnsi="Arial"/>
          <w:noProof w:val="0"/>
        </w:rPr>
      </w:pPr>
    </w:p>
    <w:p w:rsidR="00817E14" w:rsidRDefault="00817E14" w:rsidP="00817E14">
      <w:pPr>
        <w:spacing w:after="160" w:line="360" w:lineRule="auto"/>
        <w:ind w:hanging="57"/>
        <w:contextualSpacing/>
        <w:jc w:val="both"/>
        <w:rPr>
          <w:rFonts w:ascii="David" w:eastAsia="Calibri" w:hAnsi="David"/>
          <w:b/>
          <w:bCs/>
          <w:noProof w:val="0"/>
          <w:sz w:val="26"/>
          <w:szCs w:val="26"/>
          <w:u w:val="single"/>
        </w:rPr>
      </w:pPr>
      <w:r>
        <w:rPr>
          <w:rFonts w:ascii="David" w:eastAsia="Calibri" w:hAnsi="David"/>
          <w:b/>
          <w:bCs/>
          <w:noProof w:val="0"/>
          <w:sz w:val="26"/>
          <w:szCs w:val="26"/>
          <w:u w:val="single"/>
          <w:rtl/>
        </w:rPr>
        <w:t>דיון והכרעה</w:t>
      </w:r>
    </w:p>
    <w:p w:rsidR="00817E14" w:rsidRDefault="00817E14" w:rsidP="00817E14">
      <w:pPr>
        <w:pStyle w:val="a4"/>
        <w:numPr>
          <w:ilvl w:val="0"/>
          <w:numId w:val="1"/>
        </w:numPr>
        <w:spacing w:line="360" w:lineRule="auto"/>
        <w:jc w:val="both"/>
        <w:rPr>
          <w:rFonts w:ascii="Arial" w:hAnsi="Arial"/>
          <w:noProof w:val="0"/>
        </w:rPr>
      </w:pPr>
      <w:r>
        <w:rPr>
          <w:rFonts w:ascii="Arial" w:hAnsi="Arial" w:hint="cs"/>
          <w:b/>
          <w:bCs/>
          <w:noProof w:val="0"/>
          <w:rtl/>
        </w:rPr>
        <w:t>על יסוד תקנה 138(א)(5) ותקנה 146(א)(2) לתקנות סדר הדין האזרחי, תשע"ט-2018 ו</w:t>
      </w:r>
      <w:r w:rsidRPr="00D11046">
        <w:rPr>
          <w:rFonts w:ascii="Arial" w:hAnsi="Arial"/>
          <w:b/>
          <w:bCs/>
          <w:noProof w:val="0"/>
          <w:rtl/>
        </w:rPr>
        <w:t xml:space="preserve">לאחר עיון </w:t>
      </w:r>
      <w:r>
        <w:rPr>
          <w:rFonts w:ascii="Arial" w:hAnsi="Arial" w:hint="cs"/>
          <w:b/>
          <w:bCs/>
          <w:noProof w:val="0"/>
          <w:rtl/>
        </w:rPr>
        <w:t xml:space="preserve">באשר מונח לפניי </w:t>
      </w:r>
      <w:r w:rsidRPr="00D11046">
        <w:rPr>
          <w:rFonts w:ascii="Arial" w:hAnsi="Arial"/>
          <w:b/>
          <w:bCs/>
          <w:noProof w:val="0"/>
          <w:rtl/>
        </w:rPr>
        <w:t xml:space="preserve">ובתיקים </w:t>
      </w:r>
      <w:r>
        <w:rPr>
          <w:rFonts w:ascii="Arial" w:hAnsi="Arial" w:hint="cs"/>
          <w:b/>
          <w:bCs/>
          <w:noProof w:val="0"/>
          <w:rtl/>
        </w:rPr>
        <w:t>ה</w:t>
      </w:r>
      <w:r w:rsidRPr="00D11046">
        <w:rPr>
          <w:rFonts w:ascii="Arial" w:hAnsi="Arial"/>
          <w:b/>
          <w:bCs/>
          <w:noProof w:val="0"/>
          <w:rtl/>
        </w:rPr>
        <w:t>מתנהלים בבית המשפט קמא</w:t>
      </w:r>
      <w:r w:rsidRPr="00D11046">
        <w:rPr>
          <w:rFonts w:ascii="Arial" w:hAnsi="Arial" w:hint="cs"/>
          <w:b/>
          <w:bCs/>
          <w:noProof w:val="0"/>
          <w:rtl/>
        </w:rPr>
        <w:t>,</w:t>
      </w:r>
      <w:r w:rsidRPr="00D11046">
        <w:rPr>
          <w:rFonts w:ascii="Arial" w:hAnsi="Arial"/>
          <w:b/>
          <w:bCs/>
          <w:noProof w:val="0"/>
          <w:rtl/>
        </w:rPr>
        <w:t xml:space="preserve"> מצאתי לדחות הבקשה מהנימוקים שיובאו להלן.</w:t>
      </w:r>
    </w:p>
    <w:p w:rsidR="00817E14" w:rsidRDefault="00817E14" w:rsidP="00817E14">
      <w:pPr>
        <w:pStyle w:val="a4"/>
        <w:ind w:left="786"/>
        <w:jc w:val="both"/>
        <w:rPr>
          <w:rFonts w:ascii="Arial" w:hAnsi="Arial"/>
          <w:noProof w:val="0"/>
        </w:rPr>
      </w:pPr>
    </w:p>
    <w:p w:rsidR="00817E14" w:rsidRDefault="00817E14" w:rsidP="00817E14">
      <w:pPr>
        <w:pStyle w:val="a4"/>
        <w:numPr>
          <w:ilvl w:val="0"/>
          <w:numId w:val="1"/>
        </w:numPr>
        <w:spacing w:line="360" w:lineRule="auto"/>
        <w:jc w:val="both"/>
        <w:rPr>
          <w:rFonts w:ascii="Arial" w:hAnsi="Arial"/>
          <w:noProof w:val="0"/>
        </w:rPr>
      </w:pPr>
      <w:r>
        <w:rPr>
          <w:rFonts w:ascii="Arial" w:hAnsi="Arial" w:hint="cs"/>
          <w:noProof w:val="0"/>
          <w:rtl/>
        </w:rPr>
        <w:t>יובהר, כי בנסיבות העניין מצאתי, שהתוצאה אליה הגיע בית המשפט קמא נכונה, אם כי ראוי היה לבסס ההחלטה על נימוקים שונים ו/או נוספים על אלה שעליהם היא מושתתת.</w:t>
      </w:r>
    </w:p>
    <w:p w:rsidR="00817E14" w:rsidRPr="00921205" w:rsidRDefault="00817E14" w:rsidP="00817E14">
      <w:pPr>
        <w:pStyle w:val="a4"/>
        <w:rPr>
          <w:rFonts w:ascii="Arial" w:hAnsi="Arial"/>
          <w:noProof w:val="0"/>
          <w:rtl/>
        </w:rPr>
      </w:pPr>
    </w:p>
    <w:p w:rsidR="00817E14" w:rsidRDefault="00817E14" w:rsidP="00817E14">
      <w:pPr>
        <w:pStyle w:val="a4"/>
        <w:numPr>
          <w:ilvl w:val="0"/>
          <w:numId w:val="1"/>
        </w:numPr>
        <w:spacing w:line="360" w:lineRule="auto"/>
        <w:jc w:val="both"/>
        <w:rPr>
          <w:rFonts w:ascii="Arial" w:hAnsi="Arial"/>
          <w:noProof w:val="0"/>
        </w:rPr>
      </w:pPr>
      <w:r>
        <w:rPr>
          <w:rFonts w:ascii="Arial" w:hAnsi="Arial" w:hint="cs"/>
          <w:noProof w:val="0"/>
          <w:rtl/>
        </w:rPr>
        <w:t xml:space="preserve">ראשית ראוי להבהיר, כי לחיוב המשיבה בהשתתפות בנשיאה בהחזרי המשכנתא שלושה  נדבכים: האחד עניינו עצם החיוב, השני עניינו שיעור ההשתתפות והשלישי עניינו מועד החיוב </w:t>
      </w:r>
      <w:r>
        <w:rPr>
          <w:rFonts w:ascii="Arial" w:hAnsi="Arial"/>
          <w:noProof w:val="0"/>
          <w:rtl/>
        </w:rPr>
        <w:t>–</w:t>
      </w:r>
      <w:r>
        <w:rPr>
          <w:rFonts w:ascii="Arial" w:hAnsi="Arial" w:hint="cs"/>
          <w:noProof w:val="0"/>
          <w:rtl/>
        </w:rPr>
        <w:t>דהיינו האם לאלתר ובאופן שוטף או בדיעבד בדרך של הכללת חלקה בהחזר החודשי בהתחשבנות בין הצדדים אגב איזון המשאבים ביניהם. מן המונח לפניי עולה, כי המשיבה אינה חולקת על עצם החיוב (אלא אם יבוטל אגב מכירת המגרש וסילוק המשכנתא כמובן), אך בהינתן אופי ההליכים התלויים ועומדים בענייני רכושם של הצדדים וטענותיהם נראה, כי הם חלוקים בעניין שיעור ההשתתפות ובעניין מועד החיוב.</w:t>
      </w:r>
    </w:p>
    <w:p w:rsidR="00817E14" w:rsidRPr="005F05D3" w:rsidRDefault="00817E14" w:rsidP="00817E14">
      <w:pPr>
        <w:pStyle w:val="a4"/>
        <w:rPr>
          <w:rFonts w:ascii="Arial" w:hAnsi="Arial"/>
          <w:noProof w:val="0"/>
          <w:rtl/>
        </w:rPr>
      </w:pPr>
    </w:p>
    <w:p w:rsidR="00817E14" w:rsidRDefault="00817E14" w:rsidP="00817E14">
      <w:pPr>
        <w:pStyle w:val="a4"/>
        <w:numPr>
          <w:ilvl w:val="0"/>
          <w:numId w:val="1"/>
        </w:numPr>
        <w:spacing w:line="360" w:lineRule="auto"/>
        <w:jc w:val="both"/>
        <w:rPr>
          <w:rFonts w:ascii="Arial" w:hAnsi="Arial"/>
          <w:noProof w:val="0"/>
        </w:rPr>
      </w:pPr>
      <w:r>
        <w:rPr>
          <w:rFonts w:ascii="Arial" w:hAnsi="Arial" w:hint="cs"/>
          <w:noProof w:val="0"/>
          <w:rtl/>
        </w:rPr>
        <w:t xml:space="preserve">לטענת המבקש, החזרי המשכנתא השוטפים מבוצעים מחשבון הבנק שלו. יוער, כי כלל לא ברור מדוע, אם הצדדים והוריו רכשו הזכויות במגרש יחדיו והם בעליהן במשותף ובחלקים שווים וממסמכי הבנק למשכנתאות עולה כי ארבעתם לווים, ההחזר החודשי מבוצע מחשבון הבנק שלו בלבד.      </w:t>
      </w:r>
    </w:p>
    <w:p w:rsidR="00817E14" w:rsidRPr="00E248C1" w:rsidRDefault="00817E14" w:rsidP="00817E14">
      <w:pPr>
        <w:pStyle w:val="a4"/>
        <w:rPr>
          <w:rFonts w:ascii="Arial" w:hAnsi="Arial"/>
          <w:noProof w:val="0"/>
          <w:rtl/>
        </w:rPr>
      </w:pPr>
    </w:p>
    <w:p w:rsidR="00817E14" w:rsidRDefault="00817E14" w:rsidP="00817E14">
      <w:pPr>
        <w:pStyle w:val="a4"/>
        <w:numPr>
          <w:ilvl w:val="0"/>
          <w:numId w:val="1"/>
        </w:numPr>
        <w:spacing w:line="360" w:lineRule="auto"/>
        <w:jc w:val="both"/>
        <w:rPr>
          <w:rFonts w:ascii="Arial" w:hAnsi="Arial"/>
          <w:noProof w:val="0"/>
        </w:rPr>
      </w:pPr>
      <w:r>
        <w:rPr>
          <w:rFonts w:ascii="Arial" w:hAnsi="Arial" w:hint="cs"/>
          <w:noProof w:val="0"/>
          <w:rtl/>
        </w:rPr>
        <w:t xml:space="preserve">נפתח בכך, כי כשם שנטען ע"י המשיבה ובצדק, הבקשה נגועה בחוסר תום לב. </w:t>
      </w:r>
    </w:p>
    <w:p w:rsidR="00817E14" w:rsidRDefault="00817E14" w:rsidP="00817E14">
      <w:pPr>
        <w:pStyle w:val="a4"/>
        <w:spacing w:line="360" w:lineRule="auto"/>
        <w:ind w:left="786"/>
        <w:jc w:val="both"/>
        <w:rPr>
          <w:rFonts w:ascii="Arial" w:hAnsi="Arial"/>
          <w:noProof w:val="0"/>
          <w:rtl/>
        </w:rPr>
      </w:pPr>
      <w:r>
        <w:rPr>
          <w:rFonts w:ascii="Arial" w:hAnsi="Arial" w:hint="cs"/>
          <w:noProof w:val="0"/>
          <w:rtl/>
        </w:rPr>
        <w:t xml:space="preserve">וכל כך למה? </w:t>
      </w:r>
    </w:p>
    <w:p w:rsidR="00817E14" w:rsidRDefault="00817E14" w:rsidP="00817E14">
      <w:pPr>
        <w:pStyle w:val="a4"/>
        <w:spacing w:line="360" w:lineRule="auto"/>
        <w:ind w:left="786"/>
        <w:jc w:val="both"/>
        <w:rPr>
          <w:rFonts w:ascii="Arial" w:hAnsi="Arial"/>
          <w:noProof w:val="0"/>
        </w:rPr>
      </w:pPr>
      <w:r>
        <w:rPr>
          <w:rFonts w:ascii="Arial" w:hAnsi="Arial" w:hint="cs"/>
          <w:noProof w:val="0"/>
          <w:rtl/>
        </w:rPr>
        <w:t>כפי שצוין לעיל, ביום 03.04.2023 התקיימה ישיבת משפט בכל אחד מן ההליכים התלויים ועומדים אותה עת בפני בית המשפט קמא וניתנו על ידו החלטות אופרטיביות. בתוך כך ובשים לב למחלוקות בין הצדדים הם נדרשו להציג, תוך פרק הזמן שנקצב לכך, מסמכים הנוגעים למימון רכישת המגרש, הן בנוגע להון העצמי ששולם בעת רכישת הזכויות בו, הן בנוגע להלוואה שניטלה והובטחה במשכנתא והן בנוגע לזהות הנושאים במימון הרכישה.</w:t>
      </w:r>
    </w:p>
    <w:p w:rsidR="00817E14" w:rsidRDefault="00817E14" w:rsidP="00817E14">
      <w:pPr>
        <w:pStyle w:val="a4"/>
        <w:spacing w:line="360" w:lineRule="auto"/>
        <w:ind w:left="786"/>
        <w:jc w:val="both"/>
        <w:rPr>
          <w:rFonts w:ascii="Arial" w:hAnsi="Arial"/>
          <w:noProof w:val="0"/>
          <w:rtl/>
        </w:rPr>
      </w:pPr>
      <w:r>
        <w:rPr>
          <w:rFonts w:ascii="Arial" w:hAnsi="Arial" w:hint="cs"/>
          <w:noProof w:val="0"/>
          <w:rtl/>
        </w:rPr>
        <w:t>יתר על כן, ההחלטה האמורה ניתנה בהתבסס על הסכמה דיונית שהושגה בין הצדדים.</w:t>
      </w:r>
    </w:p>
    <w:p w:rsidR="00817E14" w:rsidRDefault="00817E14" w:rsidP="00817E14">
      <w:pPr>
        <w:pStyle w:val="a4"/>
        <w:spacing w:line="360" w:lineRule="auto"/>
        <w:ind w:left="786"/>
        <w:jc w:val="both"/>
        <w:rPr>
          <w:rFonts w:ascii="Arial" w:hAnsi="Arial"/>
          <w:noProof w:val="0"/>
          <w:rtl/>
        </w:rPr>
      </w:pPr>
      <w:r>
        <w:rPr>
          <w:rFonts w:ascii="Arial" w:hAnsi="Arial" w:hint="cs"/>
          <w:noProof w:val="0"/>
          <w:rtl/>
        </w:rPr>
        <w:t>למרות חלוף הזמן, לא הוגש מאום ע"י המבקש ו/או הוריו (שאף הם צד להליך בו ניתנה ההחלטה).</w:t>
      </w:r>
    </w:p>
    <w:p w:rsidR="00817E14" w:rsidRDefault="00817E14" w:rsidP="00817E14">
      <w:pPr>
        <w:pStyle w:val="a4"/>
        <w:spacing w:line="360" w:lineRule="auto"/>
        <w:ind w:left="786"/>
        <w:jc w:val="both"/>
        <w:rPr>
          <w:rFonts w:ascii="Arial" w:hAnsi="Arial"/>
          <w:noProof w:val="0"/>
          <w:rtl/>
        </w:rPr>
      </w:pPr>
      <w:r>
        <w:rPr>
          <w:rFonts w:ascii="Arial" w:hAnsi="Arial" w:hint="cs"/>
          <w:noProof w:val="0"/>
          <w:rtl/>
        </w:rPr>
        <w:lastRenderedPageBreak/>
        <w:t xml:space="preserve">בהתאם להחלטה הנוספת שניתנה באותו מועד (בהליך </w:t>
      </w:r>
      <w:proofErr w:type="spellStart"/>
      <w:r>
        <w:rPr>
          <w:rFonts w:ascii="Arial" w:hAnsi="Arial" w:hint="cs"/>
          <w:noProof w:val="0"/>
          <w:rtl/>
        </w:rPr>
        <w:t>הרכושי</w:t>
      </w:r>
      <w:proofErr w:type="spellEnd"/>
      <w:r>
        <w:rPr>
          <w:rFonts w:ascii="Arial" w:hAnsi="Arial" w:hint="cs"/>
          <w:noProof w:val="0"/>
          <w:rtl/>
        </w:rPr>
        <w:t xml:space="preserve"> בו נקט), הגיש, כאמור, המבקש בקשה בכתב לחיוב המשיבה להשתתף בהחזרי המשכנתא החודשיים, ברם מעבר לכך שהיא הוגשה בחריגה משמעותית מן המועד שבית המשפט קצב לכך, אופן הגשתה אינו עונה על דרישות הדין, משהיא לקונית, אינה נתמכת בתצהיר, הגם שהיא רצופה טענות עובדתיות ובנוסף אינה נתמכת בשום ראיה </w:t>
      </w:r>
      <w:proofErr w:type="spellStart"/>
      <w:r>
        <w:rPr>
          <w:rFonts w:ascii="Arial" w:hAnsi="Arial" w:hint="cs"/>
          <w:noProof w:val="0"/>
          <w:rtl/>
        </w:rPr>
        <w:t>חפצית</w:t>
      </w:r>
      <w:proofErr w:type="spellEnd"/>
      <w:r>
        <w:rPr>
          <w:rFonts w:ascii="Arial" w:hAnsi="Arial" w:hint="cs"/>
          <w:noProof w:val="0"/>
          <w:rtl/>
        </w:rPr>
        <w:t xml:space="preserve"> שהיא כמתחייב בנסיבות העניין.</w:t>
      </w:r>
    </w:p>
    <w:p w:rsidR="00817E14" w:rsidRDefault="00817E14" w:rsidP="00817E14">
      <w:pPr>
        <w:pStyle w:val="a4"/>
        <w:spacing w:line="360" w:lineRule="auto"/>
        <w:ind w:left="786"/>
        <w:jc w:val="both"/>
        <w:rPr>
          <w:rFonts w:ascii="Arial" w:hAnsi="Arial"/>
          <w:noProof w:val="0"/>
          <w:rtl/>
        </w:rPr>
      </w:pPr>
      <w:r>
        <w:rPr>
          <w:rFonts w:ascii="Arial" w:hAnsi="Arial" w:hint="cs"/>
          <w:noProof w:val="0"/>
          <w:rtl/>
        </w:rPr>
        <w:t>גם מעיון בכתב ההגנה שהוגש על ידו בהתייחס לתביעת המשיבה בעניין הזכויות במגרש עולה, כי לא צורפו על ידו מלוא המסמכים הנדרשים לתמיכה בטענותיו בעניין מקורות המימון לרכישת המגרש.</w:t>
      </w:r>
    </w:p>
    <w:p w:rsidR="00817E14" w:rsidRDefault="00817E14" w:rsidP="00817E14">
      <w:pPr>
        <w:pStyle w:val="a4"/>
        <w:spacing w:line="360" w:lineRule="auto"/>
        <w:ind w:left="786"/>
        <w:jc w:val="both"/>
        <w:rPr>
          <w:rFonts w:ascii="Arial" w:hAnsi="Arial"/>
          <w:noProof w:val="0"/>
          <w:rtl/>
        </w:rPr>
      </w:pPr>
    </w:p>
    <w:p w:rsidR="00817E14" w:rsidRDefault="00817E14" w:rsidP="00817E14">
      <w:pPr>
        <w:pStyle w:val="a4"/>
        <w:spacing w:line="360" w:lineRule="auto"/>
        <w:ind w:left="786"/>
        <w:jc w:val="both"/>
        <w:rPr>
          <w:rFonts w:ascii="Arial" w:hAnsi="Arial"/>
          <w:noProof w:val="0"/>
          <w:rtl/>
        </w:rPr>
      </w:pPr>
      <w:r>
        <w:rPr>
          <w:rFonts w:ascii="Arial" w:hAnsi="Arial" w:hint="cs"/>
          <w:noProof w:val="0"/>
          <w:rtl/>
        </w:rPr>
        <w:t>הנה כי כן, בעת הזו לפחות, בכל הנוגע לאופן המימון של רכישת המגרש רב הנסתר על הגלוי.</w:t>
      </w:r>
    </w:p>
    <w:p w:rsidR="00817E14" w:rsidRDefault="00817E14" w:rsidP="00817E14">
      <w:pPr>
        <w:pStyle w:val="a4"/>
        <w:spacing w:line="360" w:lineRule="auto"/>
        <w:ind w:left="786"/>
        <w:jc w:val="both"/>
        <w:rPr>
          <w:rFonts w:ascii="Arial" w:hAnsi="Arial"/>
          <w:noProof w:val="0"/>
          <w:rtl/>
        </w:rPr>
      </w:pPr>
    </w:p>
    <w:p w:rsidR="00817E14" w:rsidRDefault="00817E14" w:rsidP="00817E14">
      <w:pPr>
        <w:pStyle w:val="a4"/>
        <w:spacing w:line="360" w:lineRule="auto"/>
        <w:ind w:left="786"/>
        <w:jc w:val="both"/>
        <w:rPr>
          <w:rFonts w:ascii="Arial" w:hAnsi="Arial"/>
          <w:noProof w:val="0"/>
          <w:rtl/>
        </w:rPr>
      </w:pPr>
      <w:r>
        <w:rPr>
          <w:rFonts w:ascii="Arial" w:hAnsi="Arial" w:hint="cs"/>
          <w:noProof w:val="0"/>
          <w:rtl/>
        </w:rPr>
        <w:t xml:space="preserve">אין צורך להכביר מלים בעניין חובת הגילוי המוקדם בבית המשפט לענייני משפחה ובהינתן אופיים של הסכסוכים המתבררים בפני </w:t>
      </w:r>
      <w:proofErr w:type="spellStart"/>
      <w:r>
        <w:rPr>
          <w:rFonts w:ascii="Arial" w:hAnsi="Arial" w:hint="cs"/>
          <w:noProof w:val="0"/>
          <w:rtl/>
        </w:rPr>
        <w:t>איסטנציה</w:t>
      </w:r>
      <w:proofErr w:type="spellEnd"/>
      <w:r>
        <w:rPr>
          <w:rFonts w:ascii="Arial" w:hAnsi="Arial" w:hint="cs"/>
          <w:noProof w:val="0"/>
          <w:rtl/>
        </w:rPr>
        <w:t xml:space="preserve"> והרציונל שבבסיס הקמתה ויסודה, מעוגן הדבר בדין כבר מיום </w:t>
      </w:r>
      <w:proofErr w:type="spellStart"/>
      <w:r>
        <w:rPr>
          <w:rFonts w:ascii="Arial" w:hAnsi="Arial" w:hint="cs"/>
          <w:noProof w:val="0"/>
          <w:rtl/>
        </w:rPr>
        <w:t>היווסדה</w:t>
      </w:r>
      <w:proofErr w:type="spellEnd"/>
      <w:r>
        <w:rPr>
          <w:rFonts w:ascii="Arial" w:hAnsi="Arial" w:hint="cs"/>
          <w:noProof w:val="0"/>
          <w:rtl/>
        </w:rPr>
        <w:t xml:space="preserve"> [כיום בתקנה 17 לתקנות בית משפט לענייני משפחה (סדרי דין), תשפ"א-2020].      </w:t>
      </w:r>
    </w:p>
    <w:p w:rsidR="00817E14" w:rsidRDefault="00817E14" w:rsidP="00817E14">
      <w:pPr>
        <w:pStyle w:val="a4"/>
        <w:spacing w:line="360" w:lineRule="auto"/>
        <w:ind w:left="786"/>
        <w:jc w:val="both"/>
        <w:rPr>
          <w:rFonts w:ascii="Arial" w:hAnsi="Arial"/>
          <w:noProof w:val="0"/>
          <w:rtl/>
        </w:rPr>
      </w:pPr>
      <w:r>
        <w:rPr>
          <w:rFonts w:ascii="Arial" w:hAnsi="Arial" w:hint="cs"/>
          <w:noProof w:val="0"/>
          <w:rtl/>
        </w:rPr>
        <w:t>במקרה דנא טוענת המשיבה לנחיתות אינפורמטיבית בכל הנוגע לרכישת המגרש, לרבות מימון הרכישה, שעה שלדידה המבקש היה אחראי ואף ניהל בפועל את כל הכרוך במכירת דירתם המשותפת (שהתמורה שנתקבלה ממכירתה שימשה כהון עצמי למימון רכישת המגרש) וברכישת המגרש.</w:t>
      </w:r>
    </w:p>
    <w:p w:rsidR="00817E14" w:rsidRDefault="00817E14" w:rsidP="00817E14">
      <w:pPr>
        <w:spacing w:line="360" w:lineRule="auto"/>
        <w:ind w:left="720"/>
        <w:jc w:val="both"/>
        <w:rPr>
          <w:rFonts w:ascii="Arial" w:hAnsi="Arial"/>
          <w:noProof w:val="0"/>
          <w:rtl/>
        </w:rPr>
      </w:pPr>
      <w:r>
        <w:rPr>
          <w:rFonts w:ascii="Arial" w:hAnsi="Arial" w:hint="cs"/>
          <w:noProof w:val="0"/>
          <w:rtl/>
        </w:rPr>
        <w:t>שעה שמחד זוהי גרסת המשיבה, ומאידך מתעלם המבקש מחובתו שבדין ומהחלטה שיפוטית המורה לו להציג מסמכים הקשורים במימון רכישת המגרש (ומבוססת על ההסכמה הדיונית בין הצדדים), כלל לא ברור כיצד מצפה הוא לקבלת הסעד לו עתר.</w:t>
      </w:r>
    </w:p>
    <w:p w:rsidR="00817E14" w:rsidRDefault="00817E14" w:rsidP="00817E14">
      <w:pPr>
        <w:spacing w:line="360" w:lineRule="auto"/>
        <w:ind w:left="720"/>
        <w:jc w:val="both"/>
        <w:rPr>
          <w:rFonts w:ascii="Arial" w:hAnsi="Arial"/>
          <w:noProof w:val="0"/>
          <w:rtl/>
        </w:rPr>
      </w:pPr>
      <w:r>
        <w:rPr>
          <w:rFonts w:ascii="Arial" w:hAnsi="Arial" w:hint="cs"/>
          <w:noProof w:val="0"/>
          <w:rtl/>
        </w:rPr>
        <w:t>יתר על כן, מתוך ההחלטות השונות שניתנו ע"י בית המשפט, ברר לעצמו המבקש החלטה שאותה קיים (והגיש הבקשה לחיוב המשיבה בהשתתפות בהחזרי המשכנתא השוטפים), והחלטה שאותה הוא מפר (לגילוי המידע). בראי הנסיבות, הדעת נותנת, כי הבחירה אינה מקרית כלל ועיקר.</w:t>
      </w:r>
    </w:p>
    <w:p w:rsidR="00817E14" w:rsidRDefault="00817E14" w:rsidP="00817E14">
      <w:pPr>
        <w:spacing w:line="360" w:lineRule="auto"/>
        <w:ind w:left="720"/>
        <w:jc w:val="both"/>
        <w:rPr>
          <w:rFonts w:ascii="Arial" w:hAnsi="Arial"/>
          <w:noProof w:val="0"/>
          <w:rtl/>
        </w:rPr>
      </w:pPr>
    </w:p>
    <w:p w:rsidR="00817E14" w:rsidRDefault="00817E14" w:rsidP="00817E14">
      <w:pPr>
        <w:spacing w:line="360" w:lineRule="auto"/>
        <w:ind w:left="720"/>
        <w:jc w:val="both"/>
        <w:rPr>
          <w:rFonts w:ascii="Arial" w:hAnsi="Arial"/>
          <w:noProof w:val="0"/>
          <w:rtl/>
        </w:rPr>
      </w:pPr>
      <w:r>
        <w:rPr>
          <w:rFonts w:ascii="Arial" w:hAnsi="Arial" w:hint="cs"/>
          <w:noProof w:val="0"/>
          <w:rtl/>
        </w:rPr>
        <w:t xml:space="preserve">עינינו הרואות, אפוא, כי בד בבד עם עמידה על זכויותיו (ואין חולק, כי על בעלים של נכס במשותף גם לשאת בחובותיו במשותף), מתנער המבקש מחובותיו (ברובד הדיוני). </w:t>
      </w:r>
    </w:p>
    <w:p w:rsidR="00817E14" w:rsidRDefault="00817E14" w:rsidP="00817E14">
      <w:pPr>
        <w:spacing w:line="360" w:lineRule="auto"/>
        <w:ind w:left="720"/>
        <w:jc w:val="both"/>
        <w:rPr>
          <w:rFonts w:ascii="Arial" w:hAnsi="Arial"/>
          <w:noProof w:val="0"/>
          <w:rtl/>
        </w:rPr>
      </w:pPr>
    </w:p>
    <w:p w:rsidR="00817E14" w:rsidRDefault="00817E14" w:rsidP="00817E14">
      <w:pPr>
        <w:spacing w:line="360" w:lineRule="auto"/>
        <w:ind w:left="720"/>
        <w:jc w:val="both"/>
        <w:rPr>
          <w:rFonts w:ascii="Arial" w:hAnsi="Arial"/>
          <w:noProof w:val="0"/>
          <w:rtl/>
        </w:rPr>
      </w:pPr>
      <w:r>
        <w:rPr>
          <w:rFonts w:ascii="Arial" w:hAnsi="Arial" w:hint="cs"/>
          <w:noProof w:val="0"/>
          <w:rtl/>
        </w:rPr>
        <w:t>ואם לא די בכך, תחת ריפוי המחדל והצגת המסמכים הנדרשים בפני הערכאה הדיונית והצד שכנגד, נקט המבקש בהליך ערעורי שתכליתו ביטול ההחלטה על פיה נדחתה, כאמור, בקשתו.</w:t>
      </w:r>
    </w:p>
    <w:p w:rsidR="00817E14" w:rsidRDefault="00817E14" w:rsidP="00817E14">
      <w:pPr>
        <w:spacing w:line="360" w:lineRule="auto"/>
        <w:ind w:left="720"/>
        <w:jc w:val="both"/>
        <w:rPr>
          <w:rFonts w:ascii="Arial" w:hAnsi="Arial"/>
          <w:noProof w:val="0"/>
          <w:rtl/>
        </w:rPr>
      </w:pPr>
    </w:p>
    <w:p w:rsidR="00817E14" w:rsidRPr="00DA473C" w:rsidRDefault="00817E14" w:rsidP="00817E14">
      <w:pPr>
        <w:spacing w:line="360" w:lineRule="auto"/>
        <w:ind w:left="720"/>
        <w:jc w:val="both"/>
        <w:rPr>
          <w:rFonts w:ascii="Arial" w:hAnsi="Arial"/>
          <w:noProof w:val="0"/>
          <w:rtl/>
        </w:rPr>
      </w:pPr>
      <w:r>
        <w:rPr>
          <w:rFonts w:ascii="Arial" w:hAnsi="Arial" w:hint="cs"/>
          <w:noProof w:val="0"/>
          <w:rtl/>
        </w:rPr>
        <w:t xml:space="preserve">התנהלות מעין זו עולה כדי חוסר תום לב דיוני.         </w:t>
      </w:r>
      <w:r w:rsidRPr="00DA473C">
        <w:rPr>
          <w:rFonts w:ascii="Arial" w:hAnsi="Arial" w:hint="cs"/>
          <w:noProof w:val="0"/>
          <w:rtl/>
        </w:rPr>
        <w:t xml:space="preserve"> </w:t>
      </w:r>
    </w:p>
    <w:p w:rsidR="00817E14" w:rsidRDefault="00817E14" w:rsidP="00817E14">
      <w:pPr>
        <w:pStyle w:val="a4"/>
        <w:spacing w:line="360" w:lineRule="auto"/>
        <w:ind w:left="786"/>
        <w:jc w:val="both"/>
        <w:rPr>
          <w:rFonts w:ascii="Arial" w:hAnsi="Arial"/>
          <w:noProof w:val="0"/>
          <w:rtl/>
        </w:rPr>
      </w:pPr>
      <w:r>
        <w:rPr>
          <w:rFonts w:ascii="Arial" w:hAnsi="Arial" w:hint="cs"/>
          <w:noProof w:val="0"/>
          <w:rtl/>
        </w:rPr>
        <w:t xml:space="preserve">   </w:t>
      </w:r>
    </w:p>
    <w:p w:rsidR="00817E14" w:rsidRDefault="00817E14" w:rsidP="00817E14">
      <w:pPr>
        <w:pStyle w:val="a4"/>
        <w:numPr>
          <w:ilvl w:val="0"/>
          <w:numId w:val="1"/>
        </w:numPr>
        <w:spacing w:line="360" w:lineRule="auto"/>
        <w:jc w:val="both"/>
        <w:rPr>
          <w:rFonts w:ascii="Arial" w:hAnsi="Arial"/>
          <w:noProof w:val="0"/>
        </w:rPr>
      </w:pPr>
      <w:r>
        <w:rPr>
          <w:rFonts w:ascii="Arial" w:hAnsi="Arial" w:hint="cs"/>
          <w:noProof w:val="0"/>
          <w:rtl/>
        </w:rPr>
        <w:t xml:space="preserve">כידוע, מקורה של חובת תום הלב בדיני חוזים (סעיפים 12 ו-39 לחוק החוזים, אולם אין היא מוגבלת לחוזים בלבד. עקרון תום הלב חל על כל דבר ועניין במשפט הישראלי, </w:t>
      </w:r>
      <w:r>
        <w:rPr>
          <w:rFonts w:ascii="Arial" w:hAnsi="Arial" w:hint="cs"/>
          <w:noProof w:val="0"/>
          <w:rtl/>
        </w:rPr>
        <w:lastRenderedPageBreak/>
        <w:t xml:space="preserve">ודוקטרינת תום הלב חולשת על כל תחומי המשפט ולפיה כל בעל זכות (במובנה הרחב) מחויב להפעילה בתום לב (ע"א 2643/97 </w:t>
      </w:r>
      <w:r>
        <w:rPr>
          <w:rFonts w:ascii="Arial" w:hAnsi="Arial" w:hint="cs"/>
          <w:b/>
          <w:bCs/>
          <w:noProof w:val="0"/>
          <w:rtl/>
        </w:rPr>
        <w:t xml:space="preserve">שלמה גנז נ' בריטיש </w:t>
      </w:r>
      <w:proofErr w:type="spellStart"/>
      <w:r>
        <w:rPr>
          <w:rFonts w:ascii="Arial" w:hAnsi="Arial" w:hint="cs"/>
          <w:b/>
          <w:bCs/>
          <w:noProof w:val="0"/>
          <w:rtl/>
        </w:rPr>
        <w:t>וקולוניאל</w:t>
      </w:r>
      <w:proofErr w:type="spellEnd"/>
      <w:r>
        <w:rPr>
          <w:rFonts w:ascii="Arial" w:hAnsi="Arial" w:hint="cs"/>
          <w:b/>
          <w:bCs/>
          <w:noProof w:val="0"/>
          <w:rtl/>
        </w:rPr>
        <w:t xml:space="preserve"> חברה בע"מ, </w:t>
      </w:r>
      <w:r>
        <w:rPr>
          <w:rFonts w:ascii="Arial" w:hAnsi="Arial" w:hint="cs"/>
          <w:noProof w:val="0"/>
          <w:rtl/>
        </w:rPr>
        <w:t xml:space="preserve">פ"ד </w:t>
      </w:r>
      <w:proofErr w:type="spellStart"/>
      <w:r>
        <w:rPr>
          <w:rFonts w:ascii="Arial" w:hAnsi="Arial" w:hint="cs"/>
          <w:noProof w:val="0"/>
          <w:rtl/>
        </w:rPr>
        <w:t>נז</w:t>
      </w:r>
      <w:proofErr w:type="spellEnd"/>
      <w:r>
        <w:rPr>
          <w:rFonts w:ascii="Arial" w:hAnsi="Arial" w:hint="cs"/>
          <w:noProof w:val="0"/>
          <w:rtl/>
        </w:rPr>
        <w:t xml:space="preserve">(2)385). כפי שנקבע בעניין רוקר </w:t>
      </w:r>
      <w:r>
        <w:rPr>
          <w:rFonts w:ascii="Arial" w:hAnsi="Arial"/>
          <w:noProof w:val="0"/>
          <w:rtl/>
        </w:rPr>
        <w:t>–</w:t>
      </w:r>
      <w:r>
        <w:rPr>
          <w:rFonts w:ascii="Arial" w:hAnsi="Arial" w:hint="cs"/>
          <w:noProof w:val="0"/>
          <w:rtl/>
        </w:rPr>
        <w:t xml:space="preserve"> דוקטרינה זו </w:t>
      </w:r>
      <w:r>
        <w:rPr>
          <w:rFonts w:ascii="Arial" w:hAnsi="Arial" w:hint="cs"/>
          <w:b/>
          <w:bCs/>
          <w:noProof w:val="0"/>
          <w:rtl/>
        </w:rPr>
        <w:t xml:space="preserve">"חותכת את משפט ישראל כולו לאורכו ולרוחבו, מלוא כל הארץ כבודה" </w:t>
      </w:r>
      <w:r>
        <w:rPr>
          <w:rFonts w:ascii="Arial" w:hAnsi="Arial" w:hint="cs"/>
          <w:noProof w:val="0"/>
          <w:rtl/>
        </w:rPr>
        <w:t xml:space="preserve">(רע"א 6339/97 </w:t>
      </w:r>
      <w:r>
        <w:rPr>
          <w:rFonts w:ascii="Arial" w:hAnsi="Arial" w:hint="cs"/>
          <w:b/>
          <w:bCs/>
          <w:noProof w:val="0"/>
          <w:rtl/>
        </w:rPr>
        <w:t xml:space="preserve">משה רוקר נ' משה סלומון, </w:t>
      </w:r>
      <w:r>
        <w:rPr>
          <w:rFonts w:ascii="Arial" w:hAnsi="Arial" w:hint="cs"/>
          <w:noProof w:val="0"/>
          <w:rtl/>
        </w:rPr>
        <w:t xml:space="preserve">פ"ד </w:t>
      </w:r>
      <w:proofErr w:type="spellStart"/>
      <w:r>
        <w:rPr>
          <w:rFonts w:ascii="Arial" w:hAnsi="Arial" w:hint="cs"/>
          <w:noProof w:val="0"/>
          <w:rtl/>
        </w:rPr>
        <w:t>נה</w:t>
      </w:r>
      <w:proofErr w:type="spellEnd"/>
      <w:r>
        <w:rPr>
          <w:rFonts w:ascii="Arial" w:hAnsi="Arial" w:hint="cs"/>
          <w:noProof w:val="0"/>
          <w:rtl/>
        </w:rPr>
        <w:t>(1)199).</w:t>
      </w:r>
    </w:p>
    <w:p w:rsidR="00817E14" w:rsidRDefault="00817E14" w:rsidP="00817E14">
      <w:pPr>
        <w:pStyle w:val="a4"/>
        <w:spacing w:line="360" w:lineRule="auto"/>
        <w:ind w:left="786"/>
        <w:jc w:val="both"/>
        <w:rPr>
          <w:rFonts w:ascii="Arial" w:hAnsi="Arial"/>
          <w:noProof w:val="0"/>
        </w:rPr>
      </w:pPr>
      <w:r>
        <w:rPr>
          <w:rFonts w:ascii="Arial" w:hAnsi="Arial" w:hint="cs"/>
          <w:noProof w:val="0"/>
          <w:rtl/>
        </w:rPr>
        <w:t>הפסיקה החילה את חובת תום הלב גם על סדרי הדין והפעלתם, והלכה פסוקה היא, כי מוטלת על בעל דין להפעיל כוחותיו המשפטיים-דיוניים בדרך מקובלת ובתום לב, תוך שנקבע עוד, כי המבחן לפעולת בעל הדין הוא אובייקטיבי ואינו מותנה בגישתו האינדיבידואלית של בעל הדין באשר לנכון ולראוי, וכי אי עמידה בחובה זו עשוי להביא, בנסיבות מתאימות, לכך שהפעולה המשפטית לא תשתכלל (</w:t>
      </w:r>
      <w:proofErr w:type="spellStart"/>
      <w:r>
        <w:rPr>
          <w:rFonts w:ascii="Arial" w:hAnsi="Arial" w:hint="cs"/>
          <w:noProof w:val="0"/>
          <w:rtl/>
        </w:rPr>
        <w:t>בר"ע</w:t>
      </w:r>
      <w:proofErr w:type="spellEnd"/>
      <w:r>
        <w:rPr>
          <w:rFonts w:ascii="Arial" w:hAnsi="Arial" w:hint="cs"/>
          <w:noProof w:val="0"/>
          <w:rtl/>
        </w:rPr>
        <w:t xml:space="preserve"> 305/80 </w:t>
      </w:r>
      <w:r>
        <w:rPr>
          <w:rFonts w:ascii="Arial" w:hAnsi="Arial" w:hint="cs"/>
          <w:b/>
          <w:bCs/>
          <w:noProof w:val="0"/>
          <w:rtl/>
        </w:rPr>
        <w:t xml:space="preserve">שילה ואח' נ' </w:t>
      </w:r>
      <w:proofErr w:type="spellStart"/>
      <w:r>
        <w:rPr>
          <w:rFonts w:ascii="Arial" w:hAnsi="Arial" w:hint="cs"/>
          <w:b/>
          <w:bCs/>
          <w:noProof w:val="0"/>
          <w:rtl/>
        </w:rPr>
        <w:t>רצ'קובסקי</w:t>
      </w:r>
      <w:proofErr w:type="spellEnd"/>
      <w:r>
        <w:rPr>
          <w:rFonts w:ascii="Arial" w:hAnsi="Arial" w:hint="cs"/>
          <w:b/>
          <w:bCs/>
          <w:noProof w:val="0"/>
          <w:rtl/>
        </w:rPr>
        <w:t xml:space="preserve"> ואח', </w:t>
      </w:r>
      <w:r>
        <w:rPr>
          <w:rFonts w:ascii="Arial" w:hAnsi="Arial" w:hint="cs"/>
          <w:noProof w:val="0"/>
          <w:rtl/>
        </w:rPr>
        <w:t xml:space="preserve">פ"ד לה(3)449).    </w:t>
      </w:r>
    </w:p>
    <w:p w:rsidR="00817E14" w:rsidRDefault="00817E14" w:rsidP="00817E14">
      <w:pPr>
        <w:pStyle w:val="a4"/>
        <w:spacing w:line="360" w:lineRule="auto"/>
        <w:ind w:left="786"/>
        <w:jc w:val="both"/>
        <w:rPr>
          <w:rFonts w:ascii="Arial" w:hAnsi="Arial"/>
          <w:noProof w:val="0"/>
        </w:rPr>
      </w:pPr>
      <w:r>
        <w:rPr>
          <w:rFonts w:ascii="Arial" w:hAnsi="Arial" w:hint="cs"/>
          <w:noProof w:val="0"/>
          <w:rtl/>
        </w:rPr>
        <w:t xml:space="preserve"> </w:t>
      </w:r>
    </w:p>
    <w:p w:rsidR="00817E14" w:rsidRDefault="00817E14" w:rsidP="00817E14">
      <w:pPr>
        <w:pStyle w:val="a4"/>
        <w:numPr>
          <w:ilvl w:val="0"/>
          <w:numId w:val="1"/>
        </w:numPr>
        <w:spacing w:line="360" w:lineRule="auto"/>
        <w:jc w:val="both"/>
        <w:rPr>
          <w:rFonts w:ascii="Arial" w:hAnsi="Arial"/>
          <w:noProof w:val="0"/>
        </w:rPr>
      </w:pPr>
      <w:r>
        <w:rPr>
          <w:rFonts w:ascii="Arial" w:hAnsi="Arial" w:hint="cs"/>
          <w:noProof w:val="0"/>
          <w:rtl/>
        </w:rPr>
        <w:t>כאמור, במקרה דנא הוגשה בקשת רשות הערעור תוך שהמבקש מפר החלטה שיפוטית המורה לו להציג מסמכים הנחוצים להכרעה במחלוקת בין הצדדים, לרבות המחלוקת נושא בקשת רשות הערעור. בכך, אין המבקש עומד בחובת תום הלב המוטלת עליו, וכאמור, די בכך כדי להביא לדחיית הבקשה.</w:t>
      </w:r>
    </w:p>
    <w:p w:rsidR="00817E14" w:rsidRDefault="00817E14" w:rsidP="00817E14">
      <w:pPr>
        <w:pStyle w:val="a4"/>
        <w:spacing w:line="360" w:lineRule="auto"/>
        <w:ind w:left="786"/>
        <w:jc w:val="both"/>
        <w:rPr>
          <w:rFonts w:ascii="Arial" w:hAnsi="Arial"/>
          <w:noProof w:val="0"/>
        </w:rPr>
      </w:pPr>
      <w:r>
        <w:rPr>
          <w:rFonts w:ascii="Arial" w:hAnsi="Arial" w:hint="cs"/>
          <w:noProof w:val="0"/>
          <w:rtl/>
        </w:rPr>
        <w:t xml:space="preserve">  </w:t>
      </w:r>
    </w:p>
    <w:p w:rsidR="00817E14" w:rsidRDefault="00817E14" w:rsidP="00817E14">
      <w:pPr>
        <w:pStyle w:val="a4"/>
        <w:numPr>
          <w:ilvl w:val="0"/>
          <w:numId w:val="1"/>
        </w:numPr>
        <w:spacing w:line="360" w:lineRule="auto"/>
        <w:jc w:val="both"/>
        <w:rPr>
          <w:rFonts w:ascii="Arial" w:hAnsi="Arial"/>
          <w:noProof w:val="0"/>
        </w:rPr>
      </w:pPr>
      <w:r>
        <w:rPr>
          <w:rFonts w:ascii="Arial" w:hAnsi="Arial" w:hint="cs"/>
          <w:noProof w:val="0"/>
          <w:rtl/>
        </w:rPr>
        <w:t xml:space="preserve">גם לגוף העניין דין הבקשה להידחות.  </w:t>
      </w:r>
    </w:p>
    <w:p w:rsidR="00817E14" w:rsidRDefault="00817E14" w:rsidP="00817E14">
      <w:pPr>
        <w:pStyle w:val="a4"/>
        <w:ind w:left="786"/>
        <w:jc w:val="both"/>
        <w:rPr>
          <w:rFonts w:ascii="Arial" w:hAnsi="Arial"/>
          <w:noProof w:val="0"/>
        </w:rPr>
      </w:pPr>
    </w:p>
    <w:p w:rsidR="00817E14" w:rsidRDefault="00817E14" w:rsidP="00817E14">
      <w:pPr>
        <w:pStyle w:val="a4"/>
        <w:spacing w:line="360" w:lineRule="auto"/>
        <w:ind w:left="786"/>
        <w:jc w:val="both"/>
        <w:rPr>
          <w:rFonts w:ascii="Arial" w:hAnsi="Arial"/>
          <w:noProof w:val="0"/>
        </w:rPr>
      </w:pPr>
      <w:r>
        <w:rPr>
          <w:rFonts w:ascii="Arial" w:hAnsi="Arial" w:hint="cs"/>
          <w:noProof w:val="0"/>
          <w:rtl/>
        </w:rPr>
        <w:t xml:space="preserve">עניין לנו, כידוע, בבקשת רשות ערעור על החלטת ביניים. בפסיקה ענפה הלך והשתרש הכלל לפיו, </w:t>
      </w:r>
      <w:r w:rsidRPr="00142A9E">
        <w:rPr>
          <w:rFonts w:ascii="Arial" w:hAnsi="Arial"/>
          <w:noProof w:val="0"/>
          <w:rtl/>
        </w:rPr>
        <w:t xml:space="preserve">ערכאת הערעור </w:t>
      </w:r>
      <w:r>
        <w:rPr>
          <w:rFonts w:ascii="Arial" w:hAnsi="Arial" w:hint="cs"/>
          <w:noProof w:val="0"/>
          <w:rtl/>
        </w:rPr>
        <w:t>לא תיטה</w:t>
      </w:r>
      <w:r w:rsidRPr="00142A9E">
        <w:rPr>
          <w:rFonts w:ascii="Arial" w:hAnsi="Arial"/>
          <w:noProof w:val="0"/>
          <w:rtl/>
        </w:rPr>
        <w:t xml:space="preserve"> להתערב בהחלטות ביניים של הערכאה הדיונית, וככלל ייעשה הדבר במסגרת הערעור על פסק הדין אלא אם עלה בידי מבקש רשות הערעור להראות</w:t>
      </w:r>
      <w:r>
        <w:rPr>
          <w:rFonts w:ascii="Arial" w:hAnsi="Arial" w:hint="cs"/>
          <w:noProof w:val="0"/>
          <w:rtl/>
        </w:rPr>
        <w:t>,</w:t>
      </w:r>
      <w:r w:rsidRPr="00142A9E">
        <w:rPr>
          <w:rFonts w:ascii="Arial" w:hAnsi="Arial"/>
          <w:noProof w:val="0"/>
          <w:rtl/>
        </w:rPr>
        <w:t xml:space="preserve"> כי דחיית הבירור באותה השגה על החלטת הביניים לשלב הערעור על פסק הדין עלולה לגרום לו נזק ממשי, וכי הערכאה הדיונית טעתה טעות ברורה והתעלמה משיקולים מרכזיים שהייתה צריכה לתת דעתה עליהם</w:t>
      </w:r>
      <w:r>
        <w:rPr>
          <w:rFonts w:ascii="Arial" w:hAnsi="Arial" w:hint="cs"/>
          <w:noProof w:val="0"/>
          <w:rtl/>
        </w:rPr>
        <w:t xml:space="preserve"> [ראו למשל: </w:t>
      </w:r>
      <w:proofErr w:type="spellStart"/>
      <w:r>
        <w:rPr>
          <w:rFonts w:ascii="Arial" w:hAnsi="Arial" w:hint="cs"/>
          <w:noProof w:val="0"/>
          <w:rtl/>
        </w:rPr>
        <w:t>רמ"ש</w:t>
      </w:r>
      <w:proofErr w:type="spellEnd"/>
      <w:r>
        <w:rPr>
          <w:rFonts w:ascii="Arial" w:hAnsi="Arial" w:hint="cs"/>
          <w:noProof w:val="0"/>
          <w:rtl/>
        </w:rPr>
        <w:t xml:space="preserve"> (חיפה) 7867-03-14 </w:t>
      </w:r>
      <w:r w:rsidRPr="00833DEF">
        <w:rPr>
          <w:rFonts w:ascii="Arial" w:hAnsi="Arial" w:hint="cs"/>
          <w:b/>
          <w:bCs/>
          <w:noProof w:val="0"/>
          <w:rtl/>
        </w:rPr>
        <w:t>פלוני נ' א.א</w:t>
      </w:r>
      <w:r>
        <w:rPr>
          <w:rFonts w:ascii="Arial" w:hAnsi="Arial" w:hint="cs"/>
          <w:noProof w:val="0"/>
          <w:rtl/>
        </w:rPr>
        <w:t>, פורסם במאגרים האלקטרוניים].</w:t>
      </w:r>
    </w:p>
    <w:p w:rsidR="00817E14" w:rsidRPr="00A84C90" w:rsidRDefault="00817E14" w:rsidP="00817E14">
      <w:pPr>
        <w:jc w:val="both"/>
        <w:rPr>
          <w:rFonts w:ascii="Arial" w:hAnsi="Arial"/>
          <w:noProof w:val="0"/>
        </w:rPr>
      </w:pPr>
    </w:p>
    <w:p w:rsidR="00817E14" w:rsidRDefault="00817E14" w:rsidP="00817E14">
      <w:pPr>
        <w:pStyle w:val="a4"/>
        <w:spacing w:line="360" w:lineRule="auto"/>
        <w:ind w:left="786"/>
        <w:jc w:val="both"/>
        <w:rPr>
          <w:rFonts w:ascii="Arial" w:hAnsi="Arial"/>
          <w:noProof w:val="0"/>
        </w:rPr>
      </w:pPr>
      <w:r>
        <w:rPr>
          <w:rFonts w:ascii="Arial" w:hAnsi="Arial" w:hint="cs"/>
          <w:noProof w:val="0"/>
          <w:rtl/>
        </w:rPr>
        <w:t xml:space="preserve">זאת ועוד, מלשון </w:t>
      </w:r>
      <w:r w:rsidRPr="00414106">
        <w:rPr>
          <w:rFonts w:ascii="Arial" w:hAnsi="Arial" w:hint="cs"/>
          <w:b/>
          <w:bCs/>
          <w:noProof w:val="0"/>
          <w:rtl/>
        </w:rPr>
        <w:t xml:space="preserve">סעיף 52(ב) לחוק בתי המשפט [נוסח משולב] </w:t>
      </w:r>
      <w:proofErr w:type="spellStart"/>
      <w:r w:rsidRPr="00414106">
        <w:rPr>
          <w:rFonts w:ascii="Arial" w:hAnsi="Arial" w:hint="cs"/>
          <w:b/>
          <w:bCs/>
          <w:noProof w:val="0"/>
          <w:rtl/>
        </w:rPr>
        <w:t>התשמ"ד</w:t>
      </w:r>
      <w:proofErr w:type="spellEnd"/>
      <w:r w:rsidRPr="00414106">
        <w:rPr>
          <w:rFonts w:ascii="Arial" w:hAnsi="Arial" w:hint="cs"/>
          <w:b/>
          <w:bCs/>
          <w:noProof w:val="0"/>
          <w:rtl/>
        </w:rPr>
        <w:t xml:space="preserve"> </w:t>
      </w:r>
      <w:r w:rsidRPr="00414106">
        <w:rPr>
          <w:rFonts w:ascii="Arial" w:hAnsi="Arial"/>
          <w:b/>
          <w:bCs/>
          <w:noProof w:val="0"/>
          <w:rtl/>
        </w:rPr>
        <w:t>–</w:t>
      </w:r>
      <w:r w:rsidRPr="00414106">
        <w:rPr>
          <w:rFonts w:ascii="Arial" w:hAnsi="Arial" w:hint="cs"/>
          <w:b/>
          <w:bCs/>
          <w:noProof w:val="0"/>
          <w:rtl/>
        </w:rPr>
        <w:t xml:space="preserve"> 1984</w:t>
      </w:r>
      <w:r>
        <w:rPr>
          <w:rFonts w:ascii="Arial" w:hAnsi="Arial" w:hint="cs"/>
          <w:noProof w:val="0"/>
          <w:rtl/>
        </w:rPr>
        <w:t xml:space="preserve"> עולה, כי ככלל, יידונו השגות הצדדים על "החלטות אחרות" (החלטות ביניים) של הערכאה הדיונית במסגרת הערעור על </w:t>
      </w:r>
      <w:r w:rsidRPr="00414106">
        <w:rPr>
          <w:rFonts w:ascii="Arial" w:hAnsi="Arial"/>
          <w:rtl/>
        </w:rPr>
        <w:t>פסק הדין, אלא אם עלה בידי מבקש רשות הערעור, להראות כי דחיית הדיון בהשגה על ההחלטה לשלב הערעור על פסק הדין, עלולה להשפיע באופן ממשי על זכויות הצדדים; עלולה לגרום לנזק של ממש, או עלולה להביא לקיומו של הליך מיותר או שגוי.</w:t>
      </w:r>
    </w:p>
    <w:p w:rsidR="00817E14" w:rsidRPr="007A26E8" w:rsidRDefault="00817E14" w:rsidP="00817E14">
      <w:pPr>
        <w:pStyle w:val="a4"/>
        <w:rPr>
          <w:rFonts w:ascii="Arial" w:hAnsi="Arial"/>
          <w:noProof w:val="0"/>
          <w:rtl/>
        </w:rPr>
      </w:pPr>
    </w:p>
    <w:p w:rsidR="00817E14" w:rsidRDefault="00817E14" w:rsidP="00817E14">
      <w:pPr>
        <w:pStyle w:val="a4"/>
        <w:numPr>
          <w:ilvl w:val="0"/>
          <w:numId w:val="1"/>
        </w:numPr>
        <w:spacing w:line="360" w:lineRule="auto"/>
        <w:jc w:val="both"/>
        <w:rPr>
          <w:rFonts w:ascii="Arial" w:hAnsi="Arial"/>
          <w:noProof w:val="0"/>
        </w:rPr>
      </w:pPr>
      <w:r>
        <w:rPr>
          <w:rFonts w:ascii="Arial" w:hAnsi="Arial"/>
          <w:noProof w:val="0"/>
          <w:rtl/>
        </w:rPr>
        <w:t>במקרה דנא</w:t>
      </w:r>
      <w:r>
        <w:rPr>
          <w:rFonts w:ascii="Arial" w:hAnsi="Arial" w:hint="cs"/>
          <w:noProof w:val="0"/>
          <w:rtl/>
        </w:rPr>
        <w:t>, לא מצאתי כי</w:t>
      </w:r>
      <w:r>
        <w:rPr>
          <w:rFonts w:ascii="Arial" w:hAnsi="Arial"/>
          <w:noProof w:val="0"/>
          <w:rtl/>
        </w:rPr>
        <w:t xml:space="preserve"> </w:t>
      </w:r>
      <w:r>
        <w:rPr>
          <w:rFonts w:ascii="Arial" w:hAnsi="Arial" w:hint="cs"/>
          <w:noProof w:val="0"/>
          <w:rtl/>
        </w:rPr>
        <w:t>החלטת בית המשפט קמא</w:t>
      </w:r>
      <w:r>
        <w:rPr>
          <w:rFonts w:ascii="Arial" w:hAnsi="Arial"/>
          <w:noProof w:val="0"/>
          <w:rtl/>
        </w:rPr>
        <w:t xml:space="preserve"> באה בגדרם של אותם מקרים חריגים ויוצאי דופן בהם מוצדקת התערבות של ערכאת הערעור בהחלטת הערכאה הדיונית משלא מצאתי, כי יש בה משום גרימת עוול למבקש או כי בטעות יסודה. </w:t>
      </w:r>
    </w:p>
    <w:p w:rsidR="00817E14" w:rsidRPr="007A26E8" w:rsidRDefault="00817E14" w:rsidP="00817E14">
      <w:pPr>
        <w:jc w:val="both"/>
        <w:rPr>
          <w:rFonts w:ascii="Arial" w:hAnsi="Arial"/>
          <w:noProof w:val="0"/>
        </w:rPr>
      </w:pPr>
    </w:p>
    <w:p w:rsidR="00817E14" w:rsidRDefault="00817E14" w:rsidP="00817E14">
      <w:pPr>
        <w:pStyle w:val="a4"/>
        <w:numPr>
          <w:ilvl w:val="0"/>
          <w:numId w:val="1"/>
        </w:numPr>
        <w:spacing w:line="360" w:lineRule="auto"/>
        <w:jc w:val="both"/>
        <w:rPr>
          <w:rFonts w:ascii="Arial" w:hAnsi="Arial"/>
          <w:noProof w:val="0"/>
        </w:rPr>
      </w:pPr>
      <w:r>
        <w:rPr>
          <w:rFonts w:ascii="Arial" w:hAnsi="Arial" w:hint="cs"/>
          <w:noProof w:val="0"/>
          <w:rtl/>
        </w:rPr>
        <w:lastRenderedPageBreak/>
        <w:t xml:space="preserve">ודוק,  כפי שפורט בהרחבה לעיל, אופן המימון של רכישת המגרש לוט בערפל והאחריות לכך רובצת לפתחו של המבקש. מעיון בכתב התביעה שהוגש על ידו עולה, כי בניגוד, למשל, לרכבם המשותף של הצדדים לגביו נפרסה ע"י המבקש תמונה רחבה ומפורטת לפרטי פרטים, בכל הנוגע למימון הרכישה של המגרש, שאליבא דידו נרכש במשותף ע"י הצדדים וע"י הוריו, שוררת  עמימות רבה (שלא התבהרה עד כה חרף התקדמות ההליך וההחלטות שניתנו). הוא הדין גם בכל הנוגע לזכויות הסוציאליות שנצברו על ידו ולחשבונות הבנק שבבעלותו; יתר על כן, המבקש עותר בתביעתו לפירוק השיתוף במגרש ומתגובת המשיבה (הן זו שהוגשה לבית המשפט קמא והן זו שהוגשה לבית משפט זה בהליך דנא) עולה, כי היא מסכימה לפירוק השיתוף ואף חפצה בו. לא ברור, אפוא, פשר עמידת המבקש על המשך הנשיאה בהחזרי המשכנתא (כאשר, כאמור, לא ברור מדוע הוריו אינם לוקחים בכך חלק הגם שהם מופיעים כלווים במסמכי הבנק למשכנתאות) במקום לשלב ידיים ולפעול בשיתוף פעולה עם המשיבה למכירת המגרש בתנאי שוק חופשי והתמודדות עם אופן חלוקת התמורה בהמשך לאחר ההכרעה בשאלת הבעלות בזכויות וביצוע ההתחשבנות הכספית ביניהם על יסוד ההשקעה היחסית של כל אחד מן הצדדים במימון הרכישה.   </w:t>
      </w:r>
    </w:p>
    <w:p w:rsidR="00817E14" w:rsidRDefault="00817E14" w:rsidP="00817E14">
      <w:pPr>
        <w:spacing w:line="360" w:lineRule="auto"/>
        <w:ind w:left="720"/>
        <w:jc w:val="both"/>
        <w:rPr>
          <w:rFonts w:ascii="Arial" w:hAnsi="Arial"/>
          <w:noProof w:val="0"/>
          <w:rtl/>
        </w:rPr>
      </w:pPr>
      <w:r>
        <w:rPr>
          <w:rFonts w:ascii="Arial" w:hAnsi="Arial" w:hint="cs"/>
          <w:noProof w:val="0"/>
          <w:rtl/>
        </w:rPr>
        <w:t xml:space="preserve">בראי הנסיבות שלפנינו, עת הפער בהכנסות הצדדים גדול (כעולה מעיון בהליך המזונות) וכשבירור ההליכים </w:t>
      </w:r>
      <w:proofErr w:type="spellStart"/>
      <w:r>
        <w:rPr>
          <w:rFonts w:ascii="Arial" w:hAnsi="Arial" w:hint="cs"/>
          <w:noProof w:val="0"/>
          <w:rtl/>
        </w:rPr>
        <w:t>הרכושיים</w:t>
      </w:r>
      <w:proofErr w:type="spellEnd"/>
      <w:r>
        <w:rPr>
          <w:rFonts w:ascii="Arial" w:hAnsi="Arial" w:hint="cs"/>
          <w:noProof w:val="0"/>
          <w:rtl/>
        </w:rPr>
        <w:t xml:space="preserve"> מתעכב מחמת מחדלי המבקש, הרושם המתקבל הוא שגם התנהלות זו, המבקשת להעמיס הוצאות על המשיבה הנושאת לבד בנטל גידול בנותיהם הקטינות של הצדדים, נגועה בחוסר תום לב מצדו. </w:t>
      </w:r>
    </w:p>
    <w:p w:rsidR="00817E14" w:rsidRDefault="00817E14" w:rsidP="00817E14">
      <w:pPr>
        <w:pStyle w:val="a4"/>
        <w:spacing w:line="360" w:lineRule="auto"/>
        <w:ind w:left="786"/>
        <w:jc w:val="both"/>
        <w:rPr>
          <w:rFonts w:ascii="Arial" w:hAnsi="Arial"/>
          <w:noProof w:val="0"/>
        </w:rPr>
      </w:pPr>
    </w:p>
    <w:p w:rsidR="00817E14" w:rsidRDefault="00817E14" w:rsidP="00817E14">
      <w:pPr>
        <w:pStyle w:val="a4"/>
        <w:numPr>
          <w:ilvl w:val="0"/>
          <w:numId w:val="1"/>
        </w:numPr>
        <w:spacing w:line="360" w:lineRule="auto"/>
        <w:jc w:val="both"/>
        <w:rPr>
          <w:rFonts w:ascii="Arial" w:hAnsi="Arial"/>
          <w:noProof w:val="0"/>
        </w:rPr>
      </w:pPr>
      <w:r w:rsidRPr="008804CE">
        <w:rPr>
          <w:rFonts w:ascii="Arial" w:hAnsi="Arial" w:hint="cs"/>
          <w:noProof w:val="0"/>
          <w:rtl/>
        </w:rPr>
        <w:t xml:space="preserve">מעיון </w:t>
      </w:r>
      <w:r>
        <w:rPr>
          <w:rFonts w:ascii="Arial" w:hAnsi="Arial" w:hint="cs"/>
          <w:noProof w:val="0"/>
          <w:rtl/>
        </w:rPr>
        <w:t>בהחלטה נושא הבקשה דנא</w:t>
      </w:r>
      <w:r w:rsidRPr="008804CE">
        <w:rPr>
          <w:rFonts w:ascii="Arial" w:hAnsi="Arial" w:hint="cs"/>
          <w:noProof w:val="0"/>
          <w:rtl/>
        </w:rPr>
        <w:t xml:space="preserve"> עולה, כי היא נשענת על שני אדנים: האחד נעוץ בעובדה שנטושה בין הצדדים מחלוקת בעניין איזון המשאבים </w:t>
      </w:r>
      <w:r>
        <w:rPr>
          <w:rFonts w:ascii="Arial" w:hAnsi="Arial" w:hint="cs"/>
          <w:noProof w:val="0"/>
          <w:rtl/>
        </w:rPr>
        <w:t xml:space="preserve">אשר </w:t>
      </w:r>
      <w:r w:rsidRPr="008804CE">
        <w:rPr>
          <w:rFonts w:ascii="Arial" w:hAnsi="Arial" w:hint="cs"/>
          <w:noProof w:val="0"/>
          <w:rtl/>
        </w:rPr>
        <w:t xml:space="preserve">טרם הוכרעה, והשני בכך שעד למועד הגשת הבקשה החיוב בהחזרי המשכנתא היה מחשבון הבנק של המבקש, ויש בהחלטה משום שמירת המצב הקיים.    </w:t>
      </w:r>
    </w:p>
    <w:p w:rsidR="00817E14" w:rsidRPr="008804CE" w:rsidRDefault="00817E14" w:rsidP="00817E14">
      <w:pPr>
        <w:pStyle w:val="a4"/>
        <w:spacing w:line="360" w:lineRule="auto"/>
        <w:ind w:left="786"/>
        <w:jc w:val="both"/>
        <w:rPr>
          <w:rFonts w:ascii="Arial" w:hAnsi="Arial"/>
          <w:noProof w:val="0"/>
          <w:rtl/>
        </w:rPr>
      </w:pPr>
    </w:p>
    <w:p w:rsidR="00817E14" w:rsidRDefault="00817E14" w:rsidP="00817E14">
      <w:pPr>
        <w:pStyle w:val="a4"/>
        <w:spacing w:line="360" w:lineRule="auto"/>
        <w:ind w:left="786"/>
        <w:jc w:val="both"/>
        <w:rPr>
          <w:rFonts w:ascii="Arial" w:hAnsi="Arial"/>
          <w:noProof w:val="0"/>
          <w:rtl/>
        </w:rPr>
      </w:pPr>
      <w:r>
        <w:rPr>
          <w:rFonts w:ascii="Arial" w:hAnsi="Arial" w:hint="cs"/>
          <w:noProof w:val="0"/>
          <w:rtl/>
        </w:rPr>
        <w:t xml:space="preserve">בנסיבות העניין, ראוי היה, לטעמי, לנמק ההחלטה </w:t>
      </w:r>
      <w:proofErr w:type="spellStart"/>
      <w:r>
        <w:rPr>
          <w:rFonts w:ascii="Arial" w:hAnsi="Arial" w:hint="cs"/>
          <w:noProof w:val="0"/>
          <w:rtl/>
        </w:rPr>
        <w:t>ולהבהירה</w:t>
      </w:r>
      <w:proofErr w:type="spellEnd"/>
      <w:r>
        <w:rPr>
          <w:rFonts w:ascii="Arial" w:hAnsi="Arial" w:hint="cs"/>
          <w:noProof w:val="0"/>
          <w:rtl/>
        </w:rPr>
        <w:t xml:space="preserve">, ולא להסתפק בכך. </w:t>
      </w:r>
    </w:p>
    <w:p w:rsidR="00817E14" w:rsidRDefault="00817E14" w:rsidP="00817E14">
      <w:pPr>
        <w:pStyle w:val="a4"/>
        <w:spacing w:line="360" w:lineRule="auto"/>
        <w:ind w:left="786"/>
        <w:jc w:val="both"/>
        <w:rPr>
          <w:rFonts w:ascii="Arial" w:hAnsi="Arial"/>
          <w:noProof w:val="0"/>
          <w:rtl/>
        </w:rPr>
      </w:pPr>
      <w:r>
        <w:rPr>
          <w:rFonts w:ascii="Arial" w:hAnsi="Arial" w:hint="cs"/>
          <w:noProof w:val="0"/>
          <w:rtl/>
        </w:rPr>
        <w:t xml:space="preserve">אין צורך להכביר מלים בדבר חובת ההנמקה בדין הישראלי שהיא בבחינת יסוד מוסד בשיטתנו.  </w:t>
      </w:r>
    </w:p>
    <w:p w:rsidR="00817E14" w:rsidRDefault="00817E14" w:rsidP="00817E14">
      <w:pPr>
        <w:spacing w:after="160" w:line="360" w:lineRule="auto"/>
        <w:ind w:left="720"/>
        <w:contextualSpacing/>
        <w:jc w:val="both"/>
        <w:rPr>
          <w:rFonts w:ascii="David" w:eastAsia="Calibri" w:hAnsi="David"/>
          <w:noProof w:val="0"/>
        </w:rPr>
      </w:pPr>
      <w:r>
        <w:rPr>
          <w:rFonts w:ascii="David" w:eastAsia="Calibri" w:hAnsi="David" w:hint="cs"/>
          <w:noProof w:val="0"/>
          <w:rtl/>
        </w:rPr>
        <w:t>בית המשפט העליון עמד על תכליותיה של חובת ההנמקה, ובהן: מניעת החלטות שרירותיות והבטחת האינטרס של הכוונת התנהגות הטמון בהחלטות שיפוטיות; הנחת תשתית לערכאת הערעור לדון בסבירות ההחלטה ושאיפה כי הצדק ייראה ולא רק ייעשה.</w:t>
      </w:r>
    </w:p>
    <w:p w:rsidR="00817E14" w:rsidRDefault="00817E14" w:rsidP="00817E14">
      <w:pPr>
        <w:pStyle w:val="a4"/>
        <w:spacing w:line="360" w:lineRule="auto"/>
        <w:jc w:val="both"/>
        <w:rPr>
          <w:rFonts w:ascii="David" w:eastAsia="Calibri" w:hAnsi="David"/>
          <w:b/>
          <w:bCs/>
          <w:noProof w:val="0"/>
          <w:rtl/>
        </w:rPr>
      </w:pPr>
      <w:r>
        <w:rPr>
          <w:rFonts w:ascii="David" w:eastAsia="Calibri" w:hAnsi="David" w:hint="cs"/>
          <w:noProof w:val="0"/>
          <w:rtl/>
        </w:rPr>
        <w:t xml:space="preserve">ראו בהקשר זה החלטת בית המשפט העליון (מפי השופטת ע. ארבל) ב-רע"א 1982/05 </w:t>
      </w:r>
      <w:r>
        <w:rPr>
          <w:rFonts w:ascii="David" w:eastAsia="Calibri" w:hAnsi="David" w:hint="cs"/>
          <w:b/>
          <w:bCs/>
          <w:noProof w:val="0"/>
          <w:rtl/>
        </w:rPr>
        <w:t xml:space="preserve">מקומון כל הצפון נ' פלוני, </w:t>
      </w:r>
      <w:r>
        <w:rPr>
          <w:rFonts w:ascii="David" w:eastAsia="Calibri" w:hAnsi="David" w:hint="cs"/>
          <w:noProof w:val="0"/>
          <w:rtl/>
        </w:rPr>
        <w:t>פורסם במאגרים האלקטרוניים</w:t>
      </w:r>
      <w:r w:rsidRPr="00DD482D">
        <w:rPr>
          <w:rFonts w:ascii="David" w:eastAsia="Calibri" w:hAnsi="David" w:hint="cs"/>
          <w:noProof w:val="0"/>
          <w:rtl/>
        </w:rPr>
        <w:t>:</w:t>
      </w:r>
    </w:p>
    <w:p w:rsidR="00817E14" w:rsidRDefault="00817E14" w:rsidP="00817E14">
      <w:pPr>
        <w:pStyle w:val="a4"/>
        <w:spacing w:line="360" w:lineRule="auto"/>
        <w:jc w:val="both"/>
        <w:rPr>
          <w:rFonts w:ascii="David" w:eastAsia="Calibri" w:hAnsi="David"/>
          <w:b/>
          <w:bCs/>
          <w:noProof w:val="0"/>
          <w:rtl/>
        </w:rPr>
      </w:pPr>
      <w:r>
        <w:rPr>
          <w:rFonts w:ascii="David" w:eastAsia="Calibri" w:hAnsi="David" w:hint="cs"/>
          <w:b/>
          <w:bCs/>
          <w:noProof w:val="0"/>
          <w:rtl/>
        </w:rPr>
        <w:t xml:space="preserve">"ההנמקה היא שמאפשרת לצדדים להבין את הבסיס לפסק הדין והיא שמאפשרת לבית משפט שלערעור לבקרו. יתרה מזאת, להנמקה חלק חשוב בתהליך של גיבוש ההחלטה ובלעדיה לא ניתן לומר שזכה להתברר בבית המשפט. ציין זאת השופט ד' לוין: 'אם כך הם פני הדברים, ואם כפי שאמר בעבר בית משפט זה 'שופט אינו יוצא ידי חובתו בלי לנמק את החלטותיו' (בג"צ 79/63 </w:t>
      </w:r>
      <w:proofErr w:type="spellStart"/>
      <w:r w:rsidRPr="00DF453E">
        <w:rPr>
          <w:rFonts w:ascii="David" w:eastAsia="Calibri" w:hAnsi="David" w:hint="cs"/>
          <w:b/>
          <w:bCs/>
          <w:noProof w:val="0"/>
          <w:u w:val="single"/>
          <w:rtl/>
        </w:rPr>
        <w:t>טרודלר</w:t>
      </w:r>
      <w:proofErr w:type="spellEnd"/>
      <w:r w:rsidRPr="00DF453E">
        <w:rPr>
          <w:rFonts w:ascii="David" w:eastAsia="Calibri" w:hAnsi="David" w:hint="cs"/>
          <w:b/>
          <w:bCs/>
          <w:noProof w:val="0"/>
          <w:u w:val="single"/>
          <w:rtl/>
        </w:rPr>
        <w:t xml:space="preserve"> נ' פקידי הבחירות </w:t>
      </w:r>
      <w:proofErr w:type="spellStart"/>
      <w:r w:rsidRPr="00DF453E">
        <w:rPr>
          <w:rFonts w:ascii="David" w:eastAsia="Calibri" w:hAnsi="David" w:hint="cs"/>
          <w:b/>
          <w:bCs/>
          <w:noProof w:val="0"/>
          <w:u w:val="single"/>
          <w:rtl/>
        </w:rPr>
        <w:t>לועדות</w:t>
      </w:r>
      <w:proofErr w:type="spellEnd"/>
      <w:r w:rsidRPr="00DF453E">
        <w:rPr>
          <w:rFonts w:ascii="David" w:eastAsia="Calibri" w:hAnsi="David" w:hint="cs"/>
          <w:b/>
          <w:bCs/>
          <w:noProof w:val="0"/>
          <w:u w:val="single"/>
          <w:rtl/>
        </w:rPr>
        <w:t xml:space="preserve"> החקלאיות</w:t>
      </w:r>
      <w:r>
        <w:rPr>
          <w:rFonts w:ascii="David" w:eastAsia="Calibri" w:hAnsi="David" w:hint="cs"/>
          <w:b/>
          <w:bCs/>
          <w:noProof w:val="0"/>
          <w:rtl/>
        </w:rPr>
        <w:t xml:space="preserve">, פ"ד י"ז </w:t>
      </w:r>
      <w:r>
        <w:rPr>
          <w:rFonts w:ascii="David" w:eastAsia="Calibri" w:hAnsi="David" w:hint="cs"/>
          <w:b/>
          <w:bCs/>
          <w:noProof w:val="0"/>
          <w:rtl/>
        </w:rPr>
        <w:lastRenderedPageBreak/>
        <w:t>2503, 2516)... ואמנם, העדר הנמקה עשוי לשמש כעילה לביטול פסק דין (ראו: י' זוסמן סדרי הדין האזרחי (מהדורה שביעית, 1995)521). וכן מפי השופט י' זמיר: 'אכן, ברור וידוע הוא כי חובה על בית המשפט לתת נימוקים להחלטה, בין אם הוא מקבל את העתירה ובין אם הוא דוחה את העתירה, אלא אם ההחלטה מקובלת על שני הצדדים. כך קובע הדין החרות וכך קובעת גם ההלכה הפסוקה...ההנמקה הנדרשת יכולה להיות, לפי נסיבות המקרה, קצרה ותמציתית'".</w:t>
      </w:r>
    </w:p>
    <w:p w:rsidR="00817E14" w:rsidRPr="00DD482D" w:rsidRDefault="00817E14" w:rsidP="00817E14">
      <w:pPr>
        <w:pStyle w:val="a4"/>
        <w:spacing w:line="360" w:lineRule="auto"/>
        <w:jc w:val="both"/>
        <w:rPr>
          <w:rFonts w:ascii="David" w:eastAsia="Calibri" w:hAnsi="David"/>
          <w:b/>
          <w:bCs/>
          <w:noProof w:val="0"/>
          <w:rtl/>
        </w:rPr>
      </w:pPr>
      <w:r>
        <w:rPr>
          <w:rFonts w:ascii="David" w:eastAsia="Calibri" w:hAnsi="David" w:hint="cs"/>
          <w:b/>
          <w:bCs/>
          <w:noProof w:val="0"/>
          <w:rtl/>
        </w:rPr>
        <w:t xml:space="preserve"> </w:t>
      </w:r>
    </w:p>
    <w:p w:rsidR="00817E14" w:rsidRDefault="00817E14" w:rsidP="00817E14">
      <w:pPr>
        <w:spacing w:after="160" w:line="360" w:lineRule="auto"/>
        <w:ind w:left="720"/>
        <w:contextualSpacing/>
        <w:jc w:val="both"/>
        <w:rPr>
          <w:rFonts w:ascii="David" w:eastAsia="Calibri" w:hAnsi="David"/>
          <w:noProof w:val="0"/>
        </w:rPr>
      </w:pPr>
      <w:r>
        <w:rPr>
          <w:rFonts w:ascii="David" w:eastAsia="Calibri" w:hAnsi="David" w:hint="cs"/>
          <w:noProof w:val="0"/>
          <w:rtl/>
        </w:rPr>
        <w:t xml:space="preserve">ברי, כי מאופי ההחלטה הקונקרטית ומן הרקע שהביא את בית המשפט לקבלה, יש לגזור הסטנדרט הראוי באשר להיקף ההנמקה שלה, ודרך פריזמה הזו אף נבחן העניין ע"י ערכאת הערעור (רע"א 3337/12 </w:t>
      </w:r>
      <w:r>
        <w:rPr>
          <w:rFonts w:ascii="David" w:eastAsia="Calibri" w:hAnsi="David" w:hint="cs"/>
          <w:b/>
          <w:bCs/>
          <w:noProof w:val="0"/>
          <w:rtl/>
        </w:rPr>
        <w:t xml:space="preserve">ליברפול נכסים והשקעות בע"מ נ' עידן </w:t>
      </w:r>
      <w:proofErr w:type="spellStart"/>
      <w:r>
        <w:rPr>
          <w:rFonts w:ascii="David" w:eastAsia="Calibri" w:hAnsi="David" w:hint="cs"/>
          <w:b/>
          <w:bCs/>
          <w:noProof w:val="0"/>
          <w:rtl/>
        </w:rPr>
        <w:t>פרוביזור</w:t>
      </w:r>
      <w:proofErr w:type="spellEnd"/>
      <w:r>
        <w:rPr>
          <w:rFonts w:ascii="David" w:eastAsia="Calibri" w:hAnsi="David" w:hint="cs"/>
          <w:b/>
          <w:bCs/>
          <w:noProof w:val="0"/>
          <w:rtl/>
        </w:rPr>
        <w:t xml:space="preserve"> אחזקות בע"מ ואח', </w:t>
      </w:r>
      <w:r>
        <w:rPr>
          <w:rFonts w:ascii="David" w:eastAsia="Calibri" w:hAnsi="David" w:hint="cs"/>
          <w:noProof w:val="0"/>
          <w:rtl/>
        </w:rPr>
        <w:t xml:space="preserve">פורסם במאגרים האלקטרוניים).   </w:t>
      </w:r>
    </w:p>
    <w:p w:rsidR="00817E14" w:rsidRDefault="00817E14" w:rsidP="00817E14">
      <w:pPr>
        <w:pStyle w:val="a4"/>
        <w:spacing w:line="360" w:lineRule="auto"/>
        <w:ind w:left="652"/>
        <w:jc w:val="both"/>
        <w:rPr>
          <w:rFonts w:ascii="Arial" w:hAnsi="Arial"/>
          <w:noProof w:val="0"/>
          <w:rtl/>
        </w:rPr>
      </w:pPr>
      <w:r>
        <w:rPr>
          <w:rFonts w:ascii="Arial" w:hAnsi="Arial" w:hint="cs"/>
          <w:noProof w:val="0"/>
          <w:rtl/>
        </w:rPr>
        <w:t xml:space="preserve">אמנם במקרה דנא לא ניתן לומר, כי הערכאה הדיונית לא עמדה בחובת ההנמקה, ברם כאמור בנסיבות האופפות אותו באשר הובאו לעיל ובשים לב לזכויות המתגוששות בזירה ובראשן זכות הקניין, שמעמדה כזכות חוקתית ידוע, ראוי היה לבאר הדברים ולנמקם כדבעי.  </w:t>
      </w:r>
    </w:p>
    <w:p w:rsidR="00817E14" w:rsidRDefault="00817E14" w:rsidP="00817E14">
      <w:pPr>
        <w:pStyle w:val="a4"/>
        <w:spacing w:line="360" w:lineRule="auto"/>
        <w:ind w:left="652"/>
        <w:jc w:val="both"/>
        <w:rPr>
          <w:rFonts w:ascii="Arial" w:hAnsi="Arial"/>
          <w:noProof w:val="0"/>
        </w:rPr>
      </w:pPr>
      <w:r>
        <w:rPr>
          <w:rFonts w:ascii="Arial" w:hAnsi="Arial" w:hint="cs"/>
          <w:noProof w:val="0"/>
          <w:rtl/>
        </w:rPr>
        <w:t xml:space="preserve">  </w:t>
      </w:r>
    </w:p>
    <w:p w:rsidR="00817E14" w:rsidRDefault="00817E14" w:rsidP="00817E14">
      <w:pPr>
        <w:pStyle w:val="a4"/>
        <w:numPr>
          <w:ilvl w:val="0"/>
          <w:numId w:val="1"/>
        </w:numPr>
        <w:spacing w:line="360" w:lineRule="auto"/>
        <w:jc w:val="both"/>
        <w:rPr>
          <w:rFonts w:ascii="Arial" w:hAnsi="Arial"/>
          <w:noProof w:val="0"/>
        </w:rPr>
      </w:pPr>
      <w:r>
        <w:rPr>
          <w:rFonts w:ascii="Arial" w:hAnsi="Arial"/>
          <w:noProof w:val="0"/>
          <w:rtl/>
        </w:rPr>
        <w:t xml:space="preserve">על יסוד כל האמור לעיל, לא מצאתי, כאמור, כי </w:t>
      </w:r>
      <w:r>
        <w:rPr>
          <w:rFonts w:ascii="Arial" w:hAnsi="Arial" w:hint="cs"/>
          <w:noProof w:val="0"/>
          <w:rtl/>
        </w:rPr>
        <w:t xml:space="preserve">יצאה טעות תחת ידי בית המשפט </w:t>
      </w:r>
      <w:r>
        <w:rPr>
          <w:rFonts w:ascii="Arial" w:hAnsi="Arial"/>
          <w:noProof w:val="0"/>
          <w:rtl/>
        </w:rPr>
        <w:t xml:space="preserve">קמא, </w:t>
      </w:r>
      <w:r>
        <w:rPr>
          <w:rFonts w:ascii="Arial" w:hAnsi="Arial" w:hint="cs"/>
          <w:noProof w:val="0"/>
          <w:rtl/>
        </w:rPr>
        <w:t xml:space="preserve">ולכן אין מקום להתערב בה. לפיכך, </w:t>
      </w:r>
      <w:r>
        <w:rPr>
          <w:rFonts w:ascii="Arial" w:hAnsi="Arial"/>
          <w:noProof w:val="0"/>
          <w:rtl/>
        </w:rPr>
        <w:t>בקשת הרשות לערער עליה נדחית.</w:t>
      </w:r>
    </w:p>
    <w:p w:rsidR="00817E14" w:rsidRDefault="00817E14" w:rsidP="00817E14">
      <w:pPr>
        <w:jc w:val="both"/>
        <w:rPr>
          <w:rFonts w:ascii="Arial" w:hAnsi="Arial"/>
          <w:noProof w:val="0"/>
        </w:rPr>
      </w:pPr>
    </w:p>
    <w:p w:rsidR="00817E14" w:rsidRDefault="00817E14" w:rsidP="00817E14">
      <w:pPr>
        <w:pStyle w:val="a4"/>
        <w:numPr>
          <w:ilvl w:val="0"/>
          <w:numId w:val="1"/>
        </w:numPr>
        <w:spacing w:line="360" w:lineRule="auto"/>
        <w:jc w:val="both"/>
        <w:rPr>
          <w:rFonts w:ascii="Arial" w:hAnsi="Arial"/>
          <w:noProof w:val="0"/>
        </w:rPr>
      </w:pPr>
      <w:r>
        <w:rPr>
          <w:rFonts w:ascii="Arial" w:hAnsi="Arial" w:hint="cs"/>
          <w:noProof w:val="0"/>
          <w:rtl/>
        </w:rPr>
        <w:t>נוכח התוצאה אליה הגעתי ובהינתן ההערות דלעיל,</w:t>
      </w:r>
      <w:r>
        <w:rPr>
          <w:rFonts w:ascii="Arial" w:hAnsi="Arial"/>
          <w:noProof w:val="0"/>
          <w:rtl/>
        </w:rPr>
        <w:t xml:space="preserve"> יישא המבקש בהוצאות </w:t>
      </w:r>
      <w:r>
        <w:rPr>
          <w:rFonts w:ascii="Arial" w:hAnsi="Arial" w:hint="cs"/>
          <w:noProof w:val="0"/>
          <w:rtl/>
        </w:rPr>
        <w:t>המשיבה</w:t>
      </w:r>
      <w:r>
        <w:rPr>
          <w:rFonts w:ascii="Arial" w:hAnsi="Arial"/>
          <w:noProof w:val="0"/>
          <w:rtl/>
        </w:rPr>
        <w:t xml:space="preserve"> בסך </w:t>
      </w:r>
      <w:r>
        <w:rPr>
          <w:rFonts w:ascii="Arial" w:hAnsi="Arial" w:hint="cs"/>
          <w:noProof w:val="0"/>
          <w:rtl/>
        </w:rPr>
        <w:t>3,000</w:t>
      </w:r>
      <w:r>
        <w:rPr>
          <w:rFonts w:ascii="Arial" w:hAnsi="Arial"/>
          <w:noProof w:val="0"/>
          <w:rtl/>
        </w:rPr>
        <w:t xml:space="preserve"> ₪ מתוך הע</w:t>
      </w:r>
      <w:r>
        <w:rPr>
          <w:rFonts w:ascii="Arial" w:hAnsi="Arial" w:hint="cs"/>
          <w:noProof w:val="0"/>
          <w:rtl/>
        </w:rPr>
        <w:t>י</w:t>
      </w:r>
      <w:r>
        <w:rPr>
          <w:rFonts w:ascii="Arial" w:hAnsi="Arial"/>
          <w:noProof w:val="0"/>
          <w:rtl/>
        </w:rPr>
        <w:t xml:space="preserve">רבון שהופקד על ידו. היתרה על פירותיה תוחזר לידיו. </w:t>
      </w:r>
    </w:p>
    <w:p w:rsidR="00817E14" w:rsidRDefault="00817E14" w:rsidP="00817E14">
      <w:pPr>
        <w:jc w:val="both"/>
        <w:rPr>
          <w:rFonts w:ascii="Arial" w:hAnsi="Arial"/>
          <w:noProof w:val="0"/>
        </w:rPr>
      </w:pPr>
    </w:p>
    <w:p w:rsidR="00817E14" w:rsidRDefault="00817E14" w:rsidP="00817E14">
      <w:pPr>
        <w:pStyle w:val="a4"/>
        <w:numPr>
          <w:ilvl w:val="0"/>
          <w:numId w:val="1"/>
        </w:numPr>
        <w:spacing w:line="360" w:lineRule="auto"/>
        <w:jc w:val="both"/>
        <w:rPr>
          <w:rFonts w:ascii="Arial" w:hAnsi="Arial"/>
          <w:noProof w:val="0"/>
        </w:rPr>
      </w:pPr>
      <w:r>
        <w:rPr>
          <w:rFonts w:ascii="Arial" w:hAnsi="Arial"/>
          <w:noProof w:val="0"/>
          <w:rtl/>
        </w:rPr>
        <w:t>המזכירות תמציא ההחלטה לצדדים ותסגור התיק.</w:t>
      </w:r>
    </w:p>
    <w:p w:rsidR="00817E14" w:rsidRDefault="00817E14" w:rsidP="00817E14">
      <w:pPr>
        <w:pStyle w:val="a4"/>
        <w:rPr>
          <w:rFonts w:ascii="Arial" w:hAnsi="Arial"/>
          <w:noProof w:val="0"/>
        </w:rPr>
      </w:pPr>
    </w:p>
    <w:p w:rsidR="00817E14" w:rsidRDefault="00817E14" w:rsidP="00817E14">
      <w:pPr>
        <w:pStyle w:val="a4"/>
        <w:numPr>
          <w:ilvl w:val="0"/>
          <w:numId w:val="1"/>
        </w:numPr>
        <w:spacing w:line="360" w:lineRule="auto"/>
        <w:jc w:val="both"/>
        <w:rPr>
          <w:rFonts w:ascii="Arial" w:hAnsi="Arial"/>
          <w:noProof w:val="0"/>
        </w:rPr>
      </w:pPr>
      <w:r>
        <w:rPr>
          <w:rFonts w:ascii="Arial" w:hAnsi="Arial"/>
          <w:noProof w:val="0"/>
          <w:rtl/>
        </w:rPr>
        <w:t xml:space="preserve">ההחלטה ניתנת לפרסום, תוך השמטת שמות הצדדים ופרטים מזהים נוספים. </w:t>
      </w:r>
    </w:p>
    <w:p w:rsidR="00817E14" w:rsidRPr="00B95D6E" w:rsidRDefault="00817E14" w:rsidP="00817E14">
      <w:pPr>
        <w:spacing w:line="360" w:lineRule="auto"/>
        <w:jc w:val="both"/>
        <w:rPr>
          <w:rFonts w:ascii="Arial" w:hAnsi="Arial"/>
          <w:noProof w:val="0"/>
          <w:rtl/>
        </w:rPr>
      </w:pPr>
    </w:p>
    <w:p w:rsidR="00817E14" w:rsidRDefault="00817E14" w:rsidP="00817E14">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Pr>
          <w:rFonts w:ascii="Arial" w:hAnsi="Arial"/>
          <w:noProof w:val="0"/>
          <w:rtl/>
        </w:rPr>
        <w:t xml:space="preserve"> היום, </w:t>
      </w:r>
      <w:sdt>
        <w:sdtPr>
          <w:rPr>
            <w:rtl/>
          </w:rPr>
          <w:alias w:val="1455"/>
          <w:tag w:val="1455"/>
          <w:id w:val="1666048407"/>
          <w:text w:multiLine="1"/>
        </w:sdtPr>
        <w:sdtEndPr/>
        <w:sdtContent>
          <w:r>
            <w:rPr>
              <w:rFonts w:ascii="Arial" w:hAnsi="Arial" w:hint="cs"/>
              <w:noProof w:val="0"/>
              <w:rtl/>
            </w:rPr>
            <w:t>י"ז חשוון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hint="cs"/>
              <w:noProof w:val="0"/>
              <w:rtl/>
            </w:rPr>
            <w:t>01 נובמבר 2023</w:t>
          </w:r>
        </w:sdtContent>
      </w:sdt>
      <w:r>
        <w:rPr>
          <w:rFonts w:ascii="Arial" w:hAnsi="Arial"/>
          <w:noProof w:val="0"/>
          <w:rtl/>
        </w:rPr>
        <w:t>, בהעדר הצדדים.</w:t>
      </w:r>
    </w:p>
    <w:p w:rsidR="00817E14" w:rsidRDefault="00294831" w:rsidP="00817E14">
      <w:pPr>
        <w:tabs>
          <w:tab w:val="left" w:pos="2553"/>
        </w:tabs>
        <w:ind w:left="5040"/>
        <w:rPr>
          <w:rtl/>
        </w:rPr>
      </w:pPr>
      <w:sdt>
        <w:sdtPr>
          <w:rPr>
            <w:rFonts w:hint="cs"/>
            <w:rtl/>
          </w:rPr>
          <w:alias w:val="2045"/>
          <w:tag w:val="2045"/>
          <w:id w:val="740689340"/>
          <w:placeholder>
            <w:docPart w:val="6765B6AB7E3548C2B1E33292DAB4E7A8"/>
          </w:placeholder>
          <w:showingPlcHdr/>
          <w:text w:multiLine="1"/>
        </w:sdtPr>
        <w:sdtEndPr/>
        <w:sdtContent>
          <w:r w:rsidR="00817E14">
            <w:rPr>
              <w:rFonts w:hint="cs"/>
              <w:rtl/>
            </w:rPr>
            <w:t xml:space="preserve">     </w:t>
          </w:r>
        </w:sdtContent>
      </w:sdt>
    </w:p>
    <w:p w:rsidR="00817E14" w:rsidRDefault="00817E14" w:rsidP="00817E14">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672401017"/>
        </w:sdtPr>
        <w:sdtEndPr/>
        <w:sdtContent>
          <w:r>
            <w:drawing>
              <wp:inline distT="0" distB="0" distL="0" distR="0" wp14:anchorId="647DD614" wp14:editId="4A8AB886">
                <wp:extent cx="1666875" cy="1047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6" cstate="print">
                          <a:extLst/>
                        </a:blip>
                        <a:stretch>
                          <a:fillRect/>
                        </a:stretch>
                      </pic:blipFill>
                      <pic:spPr>
                        <a:xfrm>
                          <a:off x="0" y="0"/>
                          <a:ext cx="1666875" cy="1047750"/>
                        </a:xfrm>
                        <a:prstGeom prst="rect">
                          <a:avLst/>
                        </a:prstGeom>
                      </pic:spPr>
                    </pic:pic>
                  </a:graphicData>
                </a:graphic>
              </wp:inline>
            </w:drawing>
          </w:r>
        </w:sdtContent>
      </w:sdt>
    </w:p>
    <w:p w:rsidR="00817E14" w:rsidRDefault="00817E14" w:rsidP="00817E14">
      <w:pPr>
        <w:tabs>
          <w:tab w:val="left" w:pos="2553"/>
        </w:tabs>
        <w:rPr>
          <w:rFonts w:ascii="Arial" w:hAnsi="Arial"/>
          <w:noProof w:val="0"/>
          <w:rtl/>
        </w:rPr>
      </w:pPr>
    </w:p>
    <w:p w:rsidR="00CD25BB" w:rsidRDefault="00CD25BB"/>
    <w:sectPr w:rsidR="00CD25BB" w:rsidSect="00897C85">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4E6D6C"/>
    <w:multiLevelType w:val="hybridMultilevel"/>
    <w:tmpl w:val="AC6E8472"/>
    <w:lvl w:ilvl="0" w:tplc="814CD110">
      <w:start w:val="1"/>
      <w:numFmt w:val="decimal"/>
      <w:lvlText w:val="%1."/>
      <w:lvlJc w:val="left"/>
      <w:pPr>
        <w:ind w:left="786" w:hanging="360"/>
      </w:pPr>
      <w:rPr>
        <w:rFonts w:ascii="Arial" w:eastAsia="Times New Roman" w:hAnsi="Arial" w:cs="David"/>
        <w:b w:val="0"/>
        <w:bCs w:val="0"/>
        <w:sz w:val="24"/>
        <w:szCs w:val="24"/>
      </w:rPr>
    </w:lvl>
    <w:lvl w:ilvl="1" w:tplc="04090019">
      <w:start w:val="1"/>
      <w:numFmt w:val="lowerLetter"/>
      <w:lvlText w:val="%2."/>
      <w:lvlJc w:val="left"/>
      <w:pPr>
        <w:ind w:left="3070" w:hanging="360"/>
      </w:pPr>
    </w:lvl>
    <w:lvl w:ilvl="2" w:tplc="0409001B">
      <w:start w:val="1"/>
      <w:numFmt w:val="lowerRoman"/>
      <w:lvlText w:val="%3."/>
      <w:lvlJc w:val="right"/>
      <w:pPr>
        <w:ind w:left="3790" w:hanging="180"/>
      </w:pPr>
    </w:lvl>
    <w:lvl w:ilvl="3" w:tplc="0409000F">
      <w:start w:val="1"/>
      <w:numFmt w:val="decimal"/>
      <w:lvlText w:val="%4."/>
      <w:lvlJc w:val="left"/>
      <w:pPr>
        <w:ind w:left="4510" w:hanging="360"/>
      </w:pPr>
    </w:lvl>
    <w:lvl w:ilvl="4" w:tplc="04090019">
      <w:start w:val="1"/>
      <w:numFmt w:val="lowerLetter"/>
      <w:lvlText w:val="%5."/>
      <w:lvlJc w:val="left"/>
      <w:pPr>
        <w:ind w:left="5230" w:hanging="360"/>
      </w:pPr>
    </w:lvl>
    <w:lvl w:ilvl="5" w:tplc="0409001B">
      <w:start w:val="1"/>
      <w:numFmt w:val="lowerRoman"/>
      <w:lvlText w:val="%6."/>
      <w:lvlJc w:val="right"/>
      <w:pPr>
        <w:ind w:left="5950" w:hanging="180"/>
      </w:pPr>
    </w:lvl>
    <w:lvl w:ilvl="6" w:tplc="0409000F">
      <w:start w:val="1"/>
      <w:numFmt w:val="decimal"/>
      <w:lvlText w:val="%7."/>
      <w:lvlJc w:val="left"/>
      <w:pPr>
        <w:ind w:left="6670" w:hanging="360"/>
      </w:pPr>
    </w:lvl>
    <w:lvl w:ilvl="7" w:tplc="04090019">
      <w:start w:val="1"/>
      <w:numFmt w:val="lowerLetter"/>
      <w:lvlText w:val="%8."/>
      <w:lvlJc w:val="left"/>
      <w:pPr>
        <w:ind w:left="7390" w:hanging="360"/>
      </w:pPr>
    </w:lvl>
    <w:lvl w:ilvl="8" w:tplc="0409001B">
      <w:start w:val="1"/>
      <w:numFmt w:val="lowerRoman"/>
      <w:lvlText w:val="%9."/>
      <w:lvlJc w:val="right"/>
      <w:pPr>
        <w:ind w:left="811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4314"/>
    <w:rsid w:val="00224314"/>
    <w:rsid w:val="00294831"/>
    <w:rsid w:val="0035462E"/>
    <w:rsid w:val="00817E14"/>
    <w:rsid w:val="00897C85"/>
    <w:rsid w:val="00CD25B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392C068-C9A8-48FC-BBD3-1C0A84653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7E14"/>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17E1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17E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32948121CD54A9F8C8BFB2B352D1FB3"/>
        <w:category>
          <w:name w:val="כללי"/>
          <w:gallery w:val="placeholder"/>
        </w:category>
        <w:types>
          <w:type w:val="bbPlcHdr"/>
        </w:types>
        <w:behaviors>
          <w:behavior w:val="content"/>
        </w:behaviors>
        <w:guid w:val="{12B554E3-FDD0-412C-8E0A-16163CDBAE31}"/>
      </w:docPartPr>
      <w:docPartBody>
        <w:p w:rsidR="00FE03AC" w:rsidRDefault="00BC2A66" w:rsidP="00BC2A66">
          <w:pPr>
            <w:pStyle w:val="A32948121CD54A9F8C8BFB2B352D1FB3"/>
          </w:pPr>
          <w:r w:rsidRPr="00CD516B">
            <w:rPr>
              <w:rFonts w:ascii="Arial" w:hAnsi="Arial"/>
              <w:b/>
              <w:bCs/>
              <w:sz w:val="26"/>
              <w:szCs w:val="26"/>
              <w:rtl/>
            </w:rPr>
            <w:t>שם צד א' ללא שם של חסוי</w:t>
          </w:r>
        </w:p>
      </w:docPartBody>
    </w:docPart>
    <w:docPart>
      <w:docPartPr>
        <w:name w:val="1A01318A9BD54C169D078E5CC1B3F6E9"/>
        <w:category>
          <w:name w:val="כללי"/>
          <w:gallery w:val="placeholder"/>
        </w:category>
        <w:types>
          <w:type w:val="bbPlcHdr"/>
        </w:types>
        <w:behaviors>
          <w:behavior w:val="content"/>
        </w:behaviors>
        <w:guid w:val="{A7E7D4F0-C2B2-4235-8F58-71FE434CBE8D}"/>
      </w:docPartPr>
      <w:docPartBody>
        <w:p w:rsidR="00FE03AC" w:rsidRDefault="00BC2A66" w:rsidP="00BC2A66">
          <w:pPr>
            <w:pStyle w:val="1A01318A9BD54C169D078E5CC1B3F6E9"/>
          </w:pPr>
          <w:r w:rsidRPr="00CD516B">
            <w:rPr>
              <w:rFonts w:ascii="Arial" w:hAnsi="Arial"/>
              <w:b/>
              <w:bCs/>
              <w:sz w:val="26"/>
              <w:szCs w:val="26"/>
              <w:rtl/>
            </w:rPr>
            <w:t>שם צד ב' ללא שם של חסוי</w:t>
          </w:r>
        </w:p>
      </w:docPartBody>
    </w:docPart>
    <w:docPart>
      <w:docPartPr>
        <w:name w:val="6765B6AB7E3548C2B1E33292DAB4E7A8"/>
        <w:category>
          <w:name w:val="כללי"/>
          <w:gallery w:val="placeholder"/>
        </w:category>
        <w:types>
          <w:type w:val="bbPlcHdr"/>
        </w:types>
        <w:behaviors>
          <w:behavior w:val="content"/>
        </w:behaviors>
        <w:guid w:val="{C77223E6-BD11-4ADB-BB12-BAC49139BC27}"/>
      </w:docPartPr>
      <w:docPartBody>
        <w:p w:rsidR="00FE03AC" w:rsidRDefault="00BC2A66" w:rsidP="00BC2A66">
          <w:pPr>
            <w:pStyle w:val="6765B6AB7E3548C2B1E33292DAB4E7A8"/>
          </w:pPr>
          <w:r>
            <w:rPr>
              <w:rFonts w:hint="cs"/>
              <w:rtl/>
            </w:rPr>
            <w:t xml:space="preserve">     </w:t>
          </w:r>
        </w:p>
      </w:docPartBody>
    </w:docPart>
    <w:docPart>
      <w:docPartPr>
        <w:name w:val="41D36915DFCF4F5CA26584E1F91662F1"/>
        <w:category>
          <w:name w:val="כללי"/>
          <w:gallery w:val="placeholder"/>
        </w:category>
        <w:types>
          <w:type w:val="bbPlcHdr"/>
        </w:types>
        <w:behaviors>
          <w:behavior w:val="content"/>
        </w:behaviors>
        <w:guid w:val="{988B51AB-3C39-40ED-BD27-C5BFB031397E}"/>
      </w:docPartPr>
      <w:docPartBody>
        <w:p w:rsidR="00FE03AC" w:rsidRDefault="00BC2A66" w:rsidP="00BC2A66">
          <w:pPr>
            <w:pStyle w:val="41D36915DFCF4F5CA26584E1F91662F1"/>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A66"/>
    <w:rsid w:val="00BC2A66"/>
    <w:rsid w:val="00D76F0E"/>
    <w:rsid w:val="00FE03A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2948121CD54A9F8C8BFB2B352D1FB3">
    <w:name w:val="A32948121CD54A9F8C8BFB2B352D1FB3"/>
    <w:rsid w:val="00BC2A66"/>
    <w:pPr>
      <w:bidi/>
    </w:pPr>
  </w:style>
  <w:style w:type="paragraph" w:customStyle="1" w:styleId="1A01318A9BD54C169D078E5CC1B3F6E9">
    <w:name w:val="1A01318A9BD54C169D078E5CC1B3F6E9"/>
    <w:rsid w:val="00BC2A66"/>
    <w:pPr>
      <w:bidi/>
    </w:pPr>
  </w:style>
  <w:style w:type="paragraph" w:customStyle="1" w:styleId="6765B6AB7E3548C2B1E33292DAB4E7A8">
    <w:name w:val="6765B6AB7E3548C2B1E33292DAB4E7A8"/>
    <w:rsid w:val="00BC2A66"/>
    <w:pPr>
      <w:bidi/>
    </w:pPr>
  </w:style>
  <w:style w:type="paragraph" w:customStyle="1" w:styleId="994A649255E941F59C309F203D637763">
    <w:name w:val="994A649255E941F59C309F203D637763"/>
    <w:rsid w:val="00BC2A66"/>
    <w:pPr>
      <w:bidi/>
    </w:pPr>
  </w:style>
  <w:style w:type="paragraph" w:customStyle="1" w:styleId="41D36915DFCF4F5CA26584E1F91662F1">
    <w:name w:val="41D36915DFCF4F5CA26584E1F91662F1"/>
    <w:rsid w:val="00BC2A66"/>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2660</Words>
  <Characters>13303</Characters>
  <Application>Microsoft Office Word</Application>
  <DocSecurity>0</DocSecurity>
  <Lines>110</Lines>
  <Paragraphs>31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פאני גילת כהן</dc:creator>
  <cp:keywords/>
  <dc:description/>
  <cp:lastModifiedBy>אסתר טטרואשילי</cp:lastModifiedBy>
  <cp:revision>2</cp:revision>
  <dcterms:created xsi:type="dcterms:W3CDTF">2023-11-06T08:47:00Z</dcterms:created>
  <dcterms:modified xsi:type="dcterms:W3CDTF">2023-11-06T08:47:00Z</dcterms:modified>
</cp:coreProperties>
</file>